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6548D" w14:textId="77777777" w:rsidR="00803AD1" w:rsidRPr="002F185B" w:rsidRDefault="00803AD1" w:rsidP="00132082">
      <w:pPr>
        <w:rPr>
          <w:sz w:val="36"/>
          <w:lang w:val="en-US"/>
        </w:rPr>
      </w:pPr>
    </w:p>
    <w:p w14:paraId="57865134" w14:textId="00F09399" w:rsidR="00F015A1" w:rsidRPr="00132082" w:rsidRDefault="00B94312" w:rsidP="00132082">
      <w:pPr>
        <w:rPr>
          <w:sz w:val="36"/>
        </w:rPr>
      </w:pPr>
      <w:bookmarkStart w:id="0" w:name="OLE_LINK1"/>
      <w:bookmarkStart w:id="1" w:name="OLE_LINK2"/>
      <w:r>
        <w:rPr>
          <w:sz w:val="36"/>
        </w:rPr>
        <w:t>Реформа охорони здоров’я в контексті децентралізації</w:t>
      </w:r>
    </w:p>
    <w:p w14:paraId="36D27AD2" w14:textId="048632A2" w:rsidR="00A23AF6" w:rsidRPr="004A368F" w:rsidRDefault="00132082" w:rsidP="00132082">
      <w:pPr>
        <w:jc w:val="both"/>
        <w:rPr>
          <w:lang w:val="en-US"/>
        </w:rPr>
      </w:pPr>
      <w:r>
        <w:t>Ц</w:t>
      </w:r>
      <w:r w:rsidR="004A368F">
        <w:t>ей</w:t>
      </w:r>
      <w:r>
        <w:t xml:space="preserve"> документ було розроблено </w:t>
      </w:r>
      <w:r w:rsidR="000F2612">
        <w:t>виходячи з</w:t>
      </w:r>
      <w:r w:rsidR="00A23AF6">
        <w:t xml:space="preserve"> необхідн</w:t>
      </w:r>
      <w:r w:rsidR="000F2612">
        <w:t>ості</w:t>
      </w:r>
      <w:r w:rsidR="00A23AF6">
        <w:t xml:space="preserve"> синхронізації двох реформ – охорони здоров’я та децентралізації. Метою є знаходження синергії між двома реформами та розробка подальшого спільного плану дій.</w:t>
      </w:r>
      <w:r w:rsidR="000F2612">
        <w:t xml:space="preserve"> </w:t>
      </w:r>
      <w:r w:rsidR="000153B0">
        <w:t xml:space="preserve">Підґрунтям викладеного нижче бачення реформи медичних послуг та фінансування </w:t>
      </w:r>
      <w:bookmarkEnd w:id="0"/>
      <w:bookmarkEnd w:id="1"/>
      <w:r w:rsidR="000153B0">
        <w:t>охорони здоров’я в контексті децентралізації є ключові програмні документи МОЗ та Уряду України, а саме Коаліційна угода, Програма дій Уряду та Національна стратегія реформування охорони здоров’я в Україні 2015-2020.</w:t>
      </w:r>
    </w:p>
    <w:p w14:paraId="43BE9CEF" w14:textId="77777777" w:rsidR="00132082" w:rsidRDefault="00132082" w:rsidP="00132082">
      <w:pPr>
        <w:jc w:val="both"/>
      </w:pPr>
      <w:r>
        <w:t xml:space="preserve">В </w:t>
      </w:r>
      <w:r w:rsidR="00A23AF6">
        <w:t>документі</w:t>
      </w:r>
      <w:r>
        <w:t>:</w:t>
      </w:r>
    </w:p>
    <w:p w14:paraId="02976414" w14:textId="120444F4" w:rsidR="00E93C1B" w:rsidRDefault="00132082" w:rsidP="00132082">
      <w:pPr>
        <w:pStyle w:val="a7"/>
        <w:numPr>
          <w:ilvl w:val="0"/>
          <w:numId w:val="6"/>
        </w:numPr>
        <w:jc w:val="both"/>
      </w:pPr>
      <w:r>
        <w:t>окреслено плани Міністерства охорони здоров’я щодо модернізації системи фінансування галузі та надання послуг в ній</w:t>
      </w:r>
      <w:r w:rsidR="00AB5D78">
        <w:t>;</w:t>
      </w:r>
    </w:p>
    <w:p w14:paraId="04E71249" w14:textId="0744843D" w:rsidR="00132082" w:rsidRPr="00D16130" w:rsidRDefault="00132082" w:rsidP="00132082">
      <w:pPr>
        <w:pStyle w:val="a7"/>
        <w:numPr>
          <w:ilvl w:val="0"/>
          <w:numId w:val="6"/>
        </w:numPr>
        <w:jc w:val="both"/>
      </w:pPr>
      <w:r>
        <w:t>визначено позицію МОЗ щодо ключових питань на перетині реформ охорони здоров’я та децентралізації</w:t>
      </w:r>
      <w:r w:rsidR="00805ED9">
        <w:t>; зокрема</w:t>
      </w:r>
      <w:r w:rsidR="009D781F">
        <w:t xml:space="preserve"> </w:t>
      </w:r>
      <w:r w:rsidR="00805ED9" w:rsidRPr="00D16130">
        <w:t>щодо розмежування</w:t>
      </w:r>
      <w:r w:rsidR="009D781F" w:rsidRPr="00D16130">
        <w:t xml:space="preserve"> </w:t>
      </w:r>
      <w:r w:rsidR="00805ED9" w:rsidRPr="00D16130">
        <w:t xml:space="preserve">повноважень місцевих органів самоврядування та національного рівня управління в галузі охорони здоров’я; </w:t>
      </w:r>
    </w:p>
    <w:p w14:paraId="2FB524C8" w14:textId="5739FEED" w:rsidR="00E93C1B" w:rsidRDefault="00132082" w:rsidP="001060C6">
      <w:pPr>
        <w:pStyle w:val="a7"/>
        <w:numPr>
          <w:ilvl w:val="0"/>
          <w:numId w:val="6"/>
        </w:numPr>
        <w:jc w:val="both"/>
      </w:pPr>
      <w:r>
        <w:t xml:space="preserve">наведено </w:t>
      </w:r>
      <w:r w:rsidR="005862CB">
        <w:t xml:space="preserve">позиції, які потребують подальшого спільного розгляду та </w:t>
      </w:r>
      <w:r>
        <w:t xml:space="preserve">пропозиції щодо подальшого спільного плану дій між МОЗ, </w:t>
      </w:r>
      <w:proofErr w:type="spellStart"/>
      <w:r>
        <w:t>Мінрегіонбудом</w:t>
      </w:r>
      <w:proofErr w:type="spellEnd"/>
      <w:r>
        <w:t xml:space="preserve"> та Мінфіном щодо реалізації обох реформ</w:t>
      </w:r>
      <w:r w:rsidR="00AB5D78">
        <w:t>;</w:t>
      </w:r>
    </w:p>
    <w:p w14:paraId="5350E835" w14:textId="77777777" w:rsidR="00E93C1B" w:rsidRDefault="00132082" w:rsidP="00A23AF6">
      <w:pPr>
        <w:jc w:val="both"/>
      </w:pPr>
      <w:r>
        <w:t>Цей документ не містить остаточних рішень і покликаний</w:t>
      </w:r>
      <w:r w:rsidR="00E93C1B">
        <w:t xml:space="preserve"> стати робочим документом для </w:t>
      </w:r>
      <w:r>
        <w:t>дискусії між зацікавленими відомствами та експертами.</w:t>
      </w:r>
    </w:p>
    <w:p w14:paraId="61E928DC" w14:textId="0DBEF374" w:rsidR="00515DA7" w:rsidRDefault="000D08BC" w:rsidP="00D87B7D">
      <w:pPr>
        <w:pStyle w:val="1"/>
      </w:pPr>
      <w:r>
        <w:t xml:space="preserve">Децентралізація та реформа </w:t>
      </w:r>
      <w:r w:rsidRPr="00371779">
        <w:t xml:space="preserve">охорони здоров’я: </w:t>
      </w:r>
      <w:r w:rsidR="000019EB">
        <w:t>нова парадигма медичних послуг в новому устрої країни</w:t>
      </w:r>
    </w:p>
    <w:p w14:paraId="48D15BC9" w14:textId="4DB3484C" w:rsidR="00BA6A5E" w:rsidRDefault="00BA6A5E" w:rsidP="00A23AF6">
      <w:pPr>
        <w:jc w:val="both"/>
      </w:pPr>
      <w:r w:rsidRPr="00D16130">
        <w:t xml:space="preserve">Основна теза </w:t>
      </w:r>
      <w:r w:rsidR="00371779" w:rsidRPr="00D16130">
        <w:t>викладеної нижче</w:t>
      </w:r>
      <w:r w:rsidRPr="00D16130">
        <w:t xml:space="preserve"> концепції </w:t>
      </w:r>
      <w:r w:rsidR="008423E7" w:rsidRPr="00D16130">
        <w:t>полягає в тому, що в процесі реформи децентралізації</w:t>
      </w:r>
      <w:r w:rsidRPr="00D16130">
        <w:t xml:space="preserve"> </w:t>
      </w:r>
      <w:r w:rsidR="008423E7" w:rsidRPr="00D16130">
        <w:t>паралельно повинна відбутися</w:t>
      </w:r>
      <w:r w:rsidRPr="00D16130">
        <w:t xml:space="preserve"> змін</w:t>
      </w:r>
      <w:r w:rsidR="008423E7" w:rsidRPr="00D16130">
        <w:t>а</w:t>
      </w:r>
      <w:r w:rsidRPr="00D16130">
        <w:t xml:space="preserve"> самої парадигми фінансув</w:t>
      </w:r>
      <w:r w:rsidR="00F668E3" w:rsidRPr="00D16130">
        <w:t xml:space="preserve">ання та надання медичних послуг, </w:t>
      </w:r>
      <w:proofErr w:type="spellStart"/>
      <w:r w:rsidR="008423E7" w:rsidRPr="00D16130">
        <w:t>напротивагу</w:t>
      </w:r>
      <w:proofErr w:type="spellEnd"/>
      <w:r w:rsidRPr="00D16130">
        <w:t xml:space="preserve"> косметичн</w:t>
      </w:r>
      <w:r w:rsidR="008423E7" w:rsidRPr="00D16130">
        <w:t>им</w:t>
      </w:r>
      <w:r w:rsidRPr="00D16130">
        <w:t xml:space="preserve"> змін</w:t>
      </w:r>
      <w:r w:rsidR="008423E7" w:rsidRPr="00D16130">
        <w:t>ам</w:t>
      </w:r>
      <w:r w:rsidRPr="00D16130">
        <w:t xml:space="preserve"> у вигляді передачі окремих завдань з одного рівня влади на інший. </w:t>
      </w:r>
      <w:r w:rsidR="00D23807" w:rsidRPr="00D16130">
        <w:t>Ц</w:t>
      </w:r>
      <w:r w:rsidR="00371779" w:rsidRPr="00D16130">
        <w:t>я</w:t>
      </w:r>
      <w:r w:rsidRPr="00D16130">
        <w:t xml:space="preserve"> тез</w:t>
      </w:r>
      <w:r w:rsidR="00371779" w:rsidRPr="00D16130">
        <w:t>а</w:t>
      </w:r>
      <w:r w:rsidR="00B143CB" w:rsidRPr="00D16130">
        <w:t xml:space="preserve"> відображена</w:t>
      </w:r>
      <w:r w:rsidRPr="00D16130">
        <w:t xml:space="preserve"> </w:t>
      </w:r>
      <w:r w:rsidR="00B143CB" w:rsidRPr="00D16130">
        <w:t>у численних дослідженнях</w:t>
      </w:r>
      <w:r w:rsidR="00B143CB" w:rsidRPr="00D16130">
        <w:rPr>
          <w:rStyle w:val="a6"/>
        </w:rPr>
        <w:footnoteReference w:id="1"/>
      </w:r>
      <w:r w:rsidR="00B143CB" w:rsidRPr="00D16130">
        <w:t>,</w:t>
      </w:r>
      <w:r w:rsidRPr="00D16130">
        <w:t xml:space="preserve"> </w:t>
      </w:r>
      <w:r w:rsidR="00740CD8" w:rsidRPr="00D16130">
        <w:t>звітах</w:t>
      </w:r>
      <w:r w:rsidRPr="00D16130">
        <w:t xml:space="preserve"> </w:t>
      </w:r>
      <w:r w:rsidR="00740CD8" w:rsidRPr="00D16130">
        <w:t>міжнародних спостерігачів та програмних документах реформи охорони здоров’я</w:t>
      </w:r>
      <w:r w:rsidR="00740CD8" w:rsidRPr="00D16130">
        <w:rPr>
          <w:rStyle w:val="a6"/>
        </w:rPr>
        <w:footnoteReference w:id="2"/>
      </w:r>
      <w:r w:rsidR="00740CD8" w:rsidRPr="00D16130">
        <w:t>.</w:t>
      </w:r>
      <w:r w:rsidR="00BE799D" w:rsidRPr="00D16130">
        <w:t xml:space="preserve"> Вона виносить діалог між МОЗ та авторами реформи децентралізації поза межі звичної дискусії про те, як поділити повноваження держави в охороні здоров’я між різними рівнями влади – адже </w:t>
      </w:r>
      <w:proofErr w:type="spellStart"/>
      <w:r w:rsidR="00BE799D" w:rsidRPr="00D16130">
        <w:t>перевизначає</w:t>
      </w:r>
      <w:proofErr w:type="spellEnd"/>
      <w:r w:rsidR="00BE799D" w:rsidRPr="00D16130">
        <w:t xml:space="preserve"> самі ці повноваження.</w:t>
      </w:r>
      <w:r w:rsidR="00BE799D">
        <w:t xml:space="preserve"> </w:t>
      </w:r>
    </w:p>
    <w:p w14:paraId="22BAFC06" w14:textId="2501FAA1" w:rsidR="00043514" w:rsidRDefault="00043514" w:rsidP="00A23AF6">
      <w:pPr>
        <w:jc w:val="both"/>
      </w:pPr>
      <w:r>
        <w:t>Ключовими питаннями на межі реформ децентралізації та охорони здоров’я</w:t>
      </w:r>
      <w:r w:rsidR="00F668E3">
        <w:t>, яким присвячений цей документ,</w:t>
      </w:r>
      <w:r>
        <w:t xml:space="preserve"> </w:t>
      </w:r>
      <w:r w:rsidR="00D308F7">
        <w:t>є наступні:</w:t>
      </w:r>
    </w:p>
    <w:p w14:paraId="7A632906" w14:textId="77777777" w:rsidR="007B2553" w:rsidRDefault="007B2553" w:rsidP="00B62509">
      <w:pPr>
        <w:pStyle w:val="a7"/>
        <w:numPr>
          <w:ilvl w:val="0"/>
          <w:numId w:val="5"/>
        </w:numPr>
        <w:jc w:val="both"/>
      </w:pPr>
      <w:r>
        <w:t>Що ми децентралізуємо?</w:t>
      </w:r>
      <w:r w:rsidR="00AD32F6">
        <w:t xml:space="preserve"> Які саме повноваження держави в охороні здоров’я передаються територіальним громадам?</w:t>
      </w:r>
      <w:r w:rsidR="00043514">
        <w:t xml:space="preserve"> </w:t>
      </w:r>
    </w:p>
    <w:p w14:paraId="4929C9E2" w14:textId="77777777" w:rsidR="00043514" w:rsidRDefault="00043514" w:rsidP="00B62509">
      <w:pPr>
        <w:pStyle w:val="a7"/>
        <w:numPr>
          <w:ilvl w:val="0"/>
          <w:numId w:val="5"/>
        </w:numPr>
        <w:jc w:val="both"/>
      </w:pPr>
      <w:r>
        <w:t>Як здійснити радикальну модернізацію системи фінансування охорони здоров’я та системи надання послуг в умовах проведення децентралізації?</w:t>
      </w:r>
    </w:p>
    <w:p w14:paraId="6332C2EF" w14:textId="77777777" w:rsidR="00043514" w:rsidRDefault="00043514" w:rsidP="007B2553">
      <w:pPr>
        <w:pStyle w:val="a7"/>
        <w:numPr>
          <w:ilvl w:val="0"/>
          <w:numId w:val="5"/>
        </w:numPr>
        <w:jc w:val="both"/>
      </w:pPr>
      <w:r>
        <w:t>Як забезпечити максимально безболісний перехідний період, під час якого буде змінюватись і адміністративно-територіальний устрій, і принципи фінансування охорони здоров’я?</w:t>
      </w:r>
    </w:p>
    <w:p w14:paraId="2D6D30E1" w14:textId="19898D44" w:rsidR="00223FB4" w:rsidRDefault="00223FB4" w:rsidP="006406CB">
      <w:pPr>
        <w:jc w:val="both"/>
        <w:rPr>
          <w:color w:val="000000"/>
          <w:shd w:val="clear" w:color="auto" w:fill="FFFFFF"/>
        </w:rPr>
      </w:pPr>
      <w:r>
        <w:rPr>
          <w:color w:val="000000"/>
          <w:shd w:val="clear" w:color="auto" w:fill="FFFFFF"/>
        </w:rPr>
        <w:t xml:space="preserve">В дійсності, </w:t>
      </w:r>
      <w:r w:rsidR="006406CB">
        <w:rPr>
          <w:color w:val="000000"/>
          <w:shd w:val="clear" w:color="auto" w:fill="FFFFFF"/>
        </w:rPr>
        <w:t xml:space="preserve">охорона здоров’я в Україні </w:t>
      </w:r>
      <w:r w:rsidR="000019EB">
        <w:rPr>
          <w:color w:val="000000"/>
          <w:shd w:val="clear" w:color="auto" w:fill="FFFFFF"/>
        </w:rPr>
        <w:t xml:space="preserve">де факто є </w:t>
      </w:r>
      <w:r w:rsidR="004E0EB2">
        <w:rPr>
          <w:color w:val="000000"/>
          <w:shd w:val="clear" w:color="auto" w:fill="FFFFFF"/>
        </w:rPr>
        <w:t>сильно</w:t>
      </w:r>
      <w:r w:rsidR="006406CB">
        <w:rPr>
          <w:color w:val="000000"/>
          <w:shd w:val="clear" w:color="auto" w:fill="FFFFFF"/>
        </w:rPr>
        <w:t xml:space="preserve"> децентралізована. Ф</w:t>
      </w:r>
      <w:r>
        <w:rPr>
          <w:color w:val="000000"/>
          <w:shd w:val="clear" w:color="auto" w:fill="FFFFFF"/>
        </w:rPr>
        <w:t xml:space="preserve">інансування </w:t>
      </w:r>
      <w:r w:rsidR="00AA51E8">
        <w:rPr>
          <w:color w:val="000000"/>
          <w:shd w:val="clear" w:color="auto" w:fill="FFFFFF"/>
        </w:rPr>
        <w:t xml:space="preserve">здійснюється переважно з місцевих бюджетів (до 80%). </w:t>
      </w:r>
      <w:r w:rsidR="004E0EB2">
        <w:rPr>
          <w:color w:val="000000"/>
          <w:shd w:val="clear" w:color="auto" w:fill="FFFFFF"/>
        </w:rPr>
        <w:t xml:space="preserve">Однак </w:t>
      </w:r>
      <w:r w:rsidR="008B593B">
        <w:rPr>
          <w:color w:val="000000"/>
          <w:shd w:val="clear" w:color="auto" w:fill="FFFFFF"/>
        </w:rPr>
        <w:t>п</w:t>
      </w:r>
      <w:r w:rsidR="00AA51E8">
        <w:rPr>
          <w:color w:val="000000"/>
          <w:shd w:val="clear" w:color="auto" w:fill="FFFFFF"/>
        </w:rPr>
        <w:t xml:space="preserve">роблема неефективності </w:t>
      </w:r>
      <w:r w:rsidR="00AA51E8">
        <w:rPr>
          <w:color w:val="000000"/>
          <w:shd w:val="clear" w:color="auto" w:fill="FFFFFF"/>
        </w:rPr>
        <w:lastRenderedPageBreak/>
        <w:t xml:space="preserve">фінансування охорони здоров’я криється не в тому, з якого рівня воно здійснюється, а в тому, що воно відбувається за принципами та механізмами, успадкованими ще від Радянського союзу. </w:t>
      </w:r>
    </w:p>
    <w:p w14:paraId="50F8EA59" w14:textId="13C41E49" w:rsidR="00166F44" w:rsidRPr="00ED6AA7" w:rsidRDefault="007A6ACA" w:rsidP="00166F44">
      <w:pPr>
        <w:pStyle w:val="a3"/>
        <w:keepNext/>
        <w:rPr>
          <w:sz w:val="16"/>
        </w:rPr>
      </w:pPr>
      <w:r>
        <w:rPr>
          <w:color w:val="auto"/>
          <w:sz w:val="20"/>
        </w:rPr>
        <w:fldChar w:fldCharType="begin"/>
      </w:r>
      <w:r>
        <w:rPr>
          <w:color w:val="auto"/>
          <w:sz w:val="20"/>
        </w:rPr>
        <w:instrText xml:space="preserve"> SEQ Рисунок \* ARABIC </w:instrText>
      </w:r>
      <w:r>
        <w:rPr>
          <w:color w:val="auto"/>
          <w:sz w:val="20"/>
        </w:rPr>
        <w:fldChar w:fldCharType="separate"/>
      </w:r>
      <w:r>
        <w:rPr>
          <w:noProof/>
          <w:color w:val="auto"/>
          <w:sz w:val="20"/>
        </w:rPr>
        <w:t>1</w:t>
      </w:r>
      <w:r>
        <w:rPr>
          <w:color w:val="auto"/>
          <w:sz w:val="20"/>
        </w:rPr>
        <w:fldChar w:fldCharType="end"/>
      </w:r>
      <w:r w:rsidR="00166F44" w:rsidRPr="00ED6AA7">
        <w:rPr>
          <w:color w:val="auto"/>
          <w:sz w:val="20"/>
        </w:rPr>
        <w:t xml:space="preserve">.Центральний і </w:t>
      </w:r>
      <w:proofErr w:type="spellStart"/>
      <w:r w:rsidR="00166F44" w:rsidRPr="00ED6AA7">
        <w:rPr>
          <w:color w:val="auto"/>
          <w:sz w:val="20"/>
        </w:rPr>
        <w:t>субнаціональні</w:t>
      </w:r>
      <w:proofErr w:type="spellEnd"/>
      <w:r w:rsidR="00166F44" w:rsidRPr="00ED6AA7">
        <w:rPr>
          <w:color w:val="auto"/>
          <w:sz w:val="20"/>
        </w:rPr>
        <w:t xml:space="preserve"> бюджети у фінансуванні охорони </w:t>
      </w:r>
      <w:proofErr w:type="spellStart"/>
      <w:r w:rsidR="00166F44" w:rsidRPr="00ED6AA7">
        <w:rPr>
          <w:color w:val="auto"/>
          <w:sz w:val="20"/>
        </w:rPr>
        <w:t>здоров</w:t>
      </w:r>
      <w:proofErr w:type="spellEnd"/>
      <w:r w:rsidR="00166F44" w:rsidRPr="00ED6AA7">
        <w:rPr>
          <w:color w:val="auto"/>
          <w:sz w:val="20"/>
          <w:lang w:val="ru-RU"/>
        </w:rPr>
        <w:t>'</w:t>
      </w:r>
      <w:r w:rsidR="00166F44" w:rsidRPr="00ED6AA7">
        <w:rPr>
          <w:color w:val="auto"/>
          <w:sz w:val="20"/>
        </w:rPr>
        <w:t>я (Джерело: Державна казначейська служба України</w:t>
      </w:r>
      <w:r w:rsidR="008F3AF8" w:rsidRPr="00ED6AA7">
        <w:rPr>
          <w:color w:val="auto"/>
          <w:sz w:val="20"/>
        </w:rPr>
        <w:t>, 2012</w:t>
      </w:r>
      <w:r w:rsidR="00166F44" w:rsidRPr="00ED6AA7">
        <w:rPr>
          <w:color w:val="auto"/>
          <w:sz w:val="20"/>
        </w:rPr>
        <w:t>)</w:t>
      </w:r>
    </w:p>
    <w:p w14:paraId="78434486" w14:textId="77777777" w:rsidR="004748E5" w:rsidRDefault="00166F44">
      <w:pPr>
        <w:rPr>
          <w:color w:val="000000"/>
          <w:shd w:val="clear" w:color="auto" w:fill="FFFFFF"/>
        </w:rPr>
      </w:pPr>
      <w:r>
        <w:rPr>
          <w:noProof/>
          <w:color w:val="000000"/>
          <w:shd w:val="clear" w:color="auto" w:fill="FFFFFF"/>
          <w:lang w:eastAsia="uk-UA"/>
        </w:rPr>
        <w:drawing>
          <wp:inline distT="0" distB="0" distL="0" distR="0" wp14:anchorId="7DBED041" wp14:editId="1C48577C">
            <wp:extent cx="3295650" cy="2277107"/>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8">
                      <a:extLst>
                        <a:ext uri="{28A0092B-C50C-407E-A947-70E740481C1C}">
                          <a14:useLocalDpi xmlns:a14="http://schemas.microsoft.com/office/drawing/2010/main" val="0"/>
                        </a:ext>
                      </a:extLst>
                    </a:blip>
                    <a:stretch>
                      <a:fillRect/>
                    </a:stretch>
                  </pic:blipFill>
                  <pic:spPr>
                    <a:xfrm>
                      <a:off x="0" y="0"/>
                      <a:ext cx="3311246" cy="2287883"/>
                    </a:xfrm>
                    <a:prstGeom prst="rect">
                      <a:avLst/>
                    </a:prstGeom>
                  </pic:spPr>
                </pic:pic>
              </a:graphicData>
            </a:graphic>
          </wp:inline>
        </w:drawing>
      </w:r>
    </w:p>
    <w:p w14:paraId="47A8D3F9" w14:textId="4CFD21AD" w:rsidR="003917CB" w:rsidRDefault="004A6937" w:rsidP="004A6937">
      <w:pPr>
        <w:jc w:val="both"/>
        <w:rPr>
          <w:color w:val="000000"/>
          <w:shd w:val="clear" w:color="auto" w:fill="FFFFFF"/>
        </w:rPr>
      </w:pPr>
      <w:r>
        <w:rPr>
          <w:color w:val="000000"/>
          <w:shd w:val="clear" w:color="auto" w:fill="FFFFFF"/>
        </w:rPr>
        <w:t>Конституція України п</w:t>
      </w:r>
      <w:r w:rsidR="002D06A0">
        <w:rPr>
          <w:color w:val="000000"/>
          <w:shd w:val="clear" w:color="auto" w:fill="FFFFFF"/>
        </w:rPr>
        <w:t>роголошує</w:t>
      </w:r>
      <w:r>
        <w:rPr>
          <w:color w:val="000000"/>
          <w:shd w:val="clear" w:color="auto" w:fill="FFFFFF"/>
        </w:rPr>
        <w:t>, що «держава створює умови для ефективного і доступного для всіх громадян медичного обслуговування»</w:t>
      </w:r>
      <w:r w:rsidR="000019EB">
        <w:rPr>
          <w:rStyle w:val="a6"/>
          <w:color w:val="000000"/>
          <w:shd w:val="clear" w:color="auto" w:fill="FFFFFF"/>
        </w:rPr>
        <w:footnoteReference w:id="3"/>
      </w:r>
      <w:r>
        <w:rPr>
          <w:color w:val="000000"/>
          <w:shd w:val="clear" w:color="auto" w:fill="FFFFFF"/>
        </w:rPr>
        <w:t>.</w:t>
      </w:r>
      <w:r w:rsidR="002D06A0">
        <w:rPr>
          <w:color w:val="000000"/>
          <w:shd w:val="clear" w:color="auto" w:fill="FFFFFF"/>
        </w:rPr>
        <w:t xml:space="preserve"> Нинішня пострадянська парадигма передбачає, що практичним інструментом втілення цього обов’язку є утримання мережі державних та комунальних медичних закладів, які, за задумом, повинні надавати громадянам увесь обсяг медичної допомоги безоплатно.  </w:t>
      </w:r>
    </w:p>
    <w:p w14:paraId="32D8C4B6" w14:textId="77777777" w:rsidR="00847EEA" w:rsidRDefault="00847EEA" w:rsidP="004A6937">
      <w:pPr>
        <w:jc w:val="both"/>
        <w:rPr>
          <w:color w:val="000000"/>
          <w:shd w:val="clear" w:color="auto" w:fill="FFFFFF"/>
        </w:rPr>
      </w:pPr>
      <w:r>
        <w:rPr>
          <w:color w:val="000000"/>
          <w:shd w:val="clear" w:color="auto" w:fill="FFFFFF"/>
        </w:rPr>
        <w:t xml:space="preserve">Саме цю функцію держава сьогодні передає на </w:t>
      </w:r>
      <w:proofErr w:type="spellStart"/>
      <w:r>
        <w:rPr>
          <w:color w:val="000000"/>
          <w:shd w:val="clear" w:color="auto" w:fill="FFFFFF"/>
        </w:rPr>
        <w:t>субнаціональні</w:t>
      </w:r>
      <w:proofErr w:type="spellEnd"/>
      <w:r>
        <w:rPr>
          <w:color w:val="000000"/>
          <w:shd w:val="clear" w:color="auto" w:fill="FFFFFF"/>
        </w:rPr>
        <w:t xml:space="preserve"> рівні паралельно із фінансами на її реалізацію. </w:t>
      </w:r>
    </w:p>
    <w:p w14:paraId="40FF3802" w14:textId="49548955" w:rsidR="0092026F" w:rsidRDefault="0092026F" w:rsidP="00134791">
      <w:pPr>
        <w:jc w:val="both"/>
        <w:rPr>
          <w:color w:val="000000"/>
          <w:shd w:val="clear" w:color="auto" w:fill="FFFFFF"/>
        </w:rPr>
      </w:pPr>
      <w:r>
        <w:rPr>
          <w:color w:val="000000"/>
          <w:shd w:val="clear" w:color="auto" w:fill="FFFFFF"/>
        </w:rPr>
        <w:t xml:space="preserve">Однак цей підхід уже багато років </w:t>
      </w:r>
      <w:r w:rsidR="00B550D9">
        <w:rPr>
          <w:color w:val="000000"/>
          <w:shd w:val="clear" w:color="auto" w:fill="FFFFFF"/>
        </w:rPr>
        <w:t>демонструє свою</w:t>
      </w:r>
      <w:r>
        <w:rPr>
          <w:color w:val="000000"/>
          <w:shd w:val="clear" w:color="auto" w:fill="FFFFFF"/>
        </w:rPr>
        <w:t xml:space="preserve"> неспроможність </w:t>
      </w:r>
      <w:r w:rsidR="00B550D9">
        <w:rPr>
          <w:color w:val="000000"/>
          <w:shd w:val="clear" w:color="auto" w:fill="FFFFFF"/>
        </w:rPr>
        <w:t xml:space="preserve">допомогти державі </w:t>
      </w:r>
      <w:r>
        <w:rPr>
          <w:color w:val="000000"/>
          <w:shd w:val="clear" w:color="auto" w:fill="FFFFFF"/>
        </w:rPr>
        <w:t xml:space="preserve">втілити зобов’язання, покладені на неї Конституцією. </w:t>
      </w:r>
      <w:r w:rsidR="00B550D9">
        <w:rPr>
          <w:color w:val="000000"/>
          <w:shd w:val="clear" w:color="auto" w:fill="FFFFFF"/>
        </w:rPr>
        <w:t xml:space="preserve">Медичне обслуговування не є </w:t>
      </w:r>
      <w:r w:rsidR="000019EB">
        <w:rPr>
          <w:color w:val="000000"/>
          <w:shd w:val="clear" w:color="auto" w:fill="FFFFFF"/>
        </w:rPr>
        <w:t xml:space="preserve">ані ефективним, </w:t>
      </w:r>
      <w:r w:rsidR="00B550D9">
        <w:rPr>
          <w:color w:val="000000"/>
          <w:shd w:val="clear" w:color="auto" w:fill="FFFFFF"/>
        </w:rPr>
        <w:t xml:space="preserve">ні доступним для більшості громадян. </w:t>
      </w:r>
      <w:r w:rsidR="00B726B8">
        <w:rPr>
          <w:color w:val="000000"/>
          <w:shd w:val="clear" w:color="auto" w:fill="FFFFFF"/>
        </w:rPr>
        <w:t>Україна витрачає 12,2% від свого бюджету та 7,8% від ВВП на охорону здоров’я</w:t>
      </w:r>
      <w:r w:rsidR="008301E5">
        <w:rPr>
          <w:rStyle w:val="a6"/>
          <w:color w:val="000000"/>
          <w:shd w:val="clear" w:color="auto" w:fill="FFFFFF"/>
        </w:rPr>
        <w:footnoteReference w:id="4"/>
      </w:r>
      <w:r w:rsidR="00B726B8">
        <w:rPr>
          <w:color w:val="000000"/>
          <w:shd w:val="clear" w:color="auto" w:fill="FFFFFF"/>
        </w:rPr>
        <w:t xml:space="preserve">, при цьому абсолютно не здатна зупинити прогрес серцево-судинних та онкологічних захворювань чи фінансово захистити своїх громадян від катастрофічних витрат на </w:t>
      </w:r>
      <w:r w:rsidR="000019EB">
        <w:rPr>
          <w:color w:val="000000"/>
          <w:shd w:val="clear" w:color="auto" w:fill="FFFFFF"/>
        </w:rPr>
        <w:t>медицину</w:t>
      </w:r>
      <w:r w:rsidR="00B726B8">
        <w:rPr>
          <w:color w:val="000000"/>
          <w:shd w:val="clear" w:color="auto" w:fill="FFFFFF"/>
        </w:rPr>
        <w:t xml:space="preserve">. </w:t>
      </w:r>
      <w:r w:rsidR="00D97F67">
        <w:rPr>
          <w:color w:val="000000"/>
          <w:shd w:val="clear" w:color="auto" w:fill="FFFFFF"/>
        </w:rPr>
        <w:t>Попри величезну м</w:t>
      </w:r>
      <w:bookmarkStart w:id="2" w:name="_GoBack"/>
      <w:bookmarkEnd w:id="2"/>
      <w:r w:rsidR="00D97F67">
        <w:rPr>
          <w:color w:val="000000"/>
          <w:shd w:val="clear" w:color="auto" w:fill="FFFFFF"/>
        </w:rPr>
        <w:t xml:space="preserve">ережу лікарень (одну з найбільших в Європі) доступність громадянина до </w:t>
      </w:r>
      <w:r w:rsidR="00D97F67" w:rsidRPr="00D97F67">
        <w:rPr>
          <w:i/>
          <w:color w:val="000000"/>
          <w:shd w:val="clear" w:color="auto" w:fill="FFFFFF"/>
        </w:rPr>
        <w:t>якісної послуги</w:t>
      </w:r>
      <w:r w:rsidR="00D97F67">
        <w:rPr>
          <w:color w:val="000000"/>
          <w:shd w:val="clear" w:color="auto" w:fill="FFFFFF"/>
        </w:rPr>
        <w:t xml:space="preserve"> залишається вкрай низькою.</w:t>
      </w:r>
    </w:p>
    <w:p w14:paraId="1A147FEB" w14:textId="77777777" w:rsidR="009B41BE" w:rsidRDefault="004748E5" w:rsidP="009B41BE">
      <w:pPr>
        <w:jc w:val="both"/>
        <w:rPr>
          <w:color w:val="000000"/>
          <w:shd w:val="clear" w:color="auto" w:fill="FFFFFF"/>
        </w:rPr>
      </w:pPr>
      <w:r>
        <w:rPr>
          <w:color w:val="000000"/>
          <w:shd w:val="clear" w:color="auto" w:fill="FFFFFF"/>
        </w:rPr>
        <w:t>Передавання фінансування з одного рівня на інши</w:t>
      </w:r>
      <w:r w:rsidR="00134791">
        <w:rPr>
          <w:color w:val="000000"/>
          <w:shd w:val="clear" w:color="auto" w:fill="FFFFFF"/>
        </w:rPr>
        <w:t>й</w:t>
      </w:r>
      <w:r>
        <w:rPr>
          <w:color w:val="000000"/>
          <w:shd w:val="clear" w:color="auto" w:fill="FFFFFF"/>
        </w:rPr>
        <w:t xml:space="preserve"> в будь-яких комбінаціях в діючій парадигмі не здатне призвести до відчутної зміни ефективності </w:t>
      </w:r>
      <w:r w:rsidR="00134791">
        <w:rPr>
          <w:color w:val="000000"/>
          <w:shd w:val="clear" w:color="auto" w:fill="FFFFFF"/>
        </w:rPr>
        <w:t>або доступності</w:t>
      </w:r>
      <w:r>
        <w:rPr>
          <w:color w:val="000000"/>
          <w:shd w:val="clear" w:color="auto" w:fill="FFFFFF"/>
        </w:rPr>
        <w:t xml:space="preserve">. </w:t>
      </w:r>
      <w:r w:rsidR="00AB1A3B">
        <w:rPr>
          <w:color w:val="000000"/>
          <w:shd w:val="clear" w:color="auto" w:fill="FFFFFF"/>
        </w:rPr>
        <w:t xml:space="preserve">Необхідне радикальне </w:t>
      </w:r>
      <w:proofErr w:type="spellStart"/>
      <w:r w:rsidR="00AB1A3B">
        <w:rPr>
          <w:color w:val="000000"/>
          <w:shd w:val="clear" w:color="auto" w:fill="FFFFFF"/>
        </w:rPr>
        <w:t>перевизначення</w:t>
      </w:r>
      <w:proofErr w:type="spellEnd"/>
      <w:r w:rsidR="00AB1A3B">
        <w:rPr>
          <w:color w:val="000000"/>
          <w:shd w:val="clear" w:color="auto" w:fill="FFFFFF"/>
        </w:rPr>
        <w:t xml:space="preserve"> способу, у який держава буде здійснювати свої обов’язки щодо о</w:t>
      </w:r>
      <w:r w:rsidR="009B41BE">
        <w:rPr>
          <w:color w:val="000000"/>
          <w:shd w:val="clear" w:color="auto" w:fill="FFFFFF"/>
        </w:rPr>
        <w:t xml:space="preserve">хорони здоров’я своїх громадян: перехід до фінансування результатів, а не ресурсів; автономізація постачальників послуг; розмежування замовника та надавача послуг. </w:t>
      </w:r>
    </w:p>
    <w:tbl>
      <w:tblPr>
        <w:tblStyle w:val="a8"/>
        <w:tblW w:w="9629" w:type="dxa"/>
        <w:tblInd w:w="10" w:type="dxa"/>
        <w:tblLook w:val="0420" w:firstRow="1" w:lastRow="0" w:firstColumn="0" w:lastColumn="0" w:noHBand="0" w:noVBand="1"/>
      </w:tblPr>
      <w:tblGrid>
        <w:gridCol w:w="3109"/>
        <w:gridCol w:w="3118"/>
        <w:gridCol w:w="3402"/>
      </w:tblGrid>
      <w:tr w:rsidR="00B27D4C" w:rsidRPr="009B41BE" w14:paraId="757F6BC0" w14:textId="77777777" w:rsidTr="00635A6F">
        <w:trPr>
          <w:trHeight w:val="314"/>
        </w:trPr>
        <w:tc>
          <w:tcPr>
            <w:tcW w:w="9629" w:type="dxa"/>
            <w:gridSpan w:val="3"/>
            <w:tcBorders>
              <w:top w:val="nil"/>
              <w:left w:val="nil"/>
              <w:right w:val="nil"/>
            </w:tcBorders>
          </w:tcPr>
          <w:p w14:paraId="1F7C1006" w14:textId="77777777" w:rsidR="00B27D4C" w:rsidRPr="00ED6AA7" w:rsidRDefault="00B27D4C" w:rsidP="008F3AF8">
            <w:pPr>
              <w:rPr>
                <w:bCs/>
                <w:i/>
                <w:color w:val="000000"/>
                <w:shd w:val="clear" w:color="auto" w:fill="FFFFFF"/>
              </w:rPr>
            </w:pPr>
            <w:r w:rsidRPr="00ED6AA7">
              <w:rPr>
                <w:bCs/>
                <w:i/>
                <w:color w:val="000000"/>
                <w:sz w:val="20"/>
                <w:shd w:val="clear" w:color="auto" w:fill="FFFFFF"/>
              </w:rPr>
              <w:t xml:space="preserve">Таблиця 1. </w:t>
            </w:r>
            <w:r w:rsidR="0073413E" w:rsidRPr="00ED6AA7">
              <w:rPr>
                <w:bCs/>
                <w:i/>
                <w:color w:val="000000"/>
                <w:sz w:val="20"/>
                <w:shd w:val="clear" w:color="auto" w:fill="FFFFFF"/>
              </w:rPr>
              <w:t>Зміна</w:t>
            </w:r>
            <w:r w:rsidRPr="00ED6AA7">
              <w:rPr>
                <w:bCs/>
                <w:i/>
                <w:color w:val="000000"/>
                <w:sz w:val="20"/>
                <w:shd w:val="clear" w:color="auto" w:fill="FFFFFF"/>
              </w:rPr>
              <w:t xml:space="preserve"> </w:t>
            </w:r>
            <w:r w:rsidR="008F3AF8" w:rsidRPr="00ED6AA7">
              <w:rPr>
                <w:bCs/>
                <w:i/>
                <w:color w:val="000000"/>
                <w:sz w:val="20"/>
                <w:shd w:val="clear" w:color="auto" w:fill="FFFFFF"/>
              </w:rPr>
              <w:t>підходу до</w:t>
            </w:r>
            <w:r w:rsidR="0073413E" w:rsidRPr="00ED6AA7">
              <w:rPr>
                <w:bCs/>
                <w:i/>
                <w:color w:val="000000"/>
                <w:sz w:val="20"/>
                <w:shd w:val="clear" w:color="auto" w:fill="FFFFFF"/>
              </w:rPr>
              <w:t xml:space="preserve"> втілення</w:t>
            </w:r>
            <w:r w:rsidRPr="00ED6AA7">
              <w:rPr>
                <w:bCs/>
                <w:i/>
                <w:color w:val="000000"/>
                <w:sz w:val="20"/>
                <w:shd w:val="clear" w:color="auto" w:fill="FFFFFF"/>
              </w:rPr>
              <w:t xml:space="preserve"> обов’язків</w:t>
            </w:r>
            <w:r w:rsidR="0073413E" w:rsidRPr="00ED6AA7">
              <w:rPr>
                <w:bCs/>
                <w:i/>
                <w:color w:val="000000"/>
                <w:sz w:val="20"/>
                <w:shd w:val="clear" w:color="auto" w:fill="FFFFFF"/>
              </w:rPr>
              <w:t xml:space="preserve"> держави</w:t>
            </w:r>
            <w:r w:rsidRPr="00ED6AA7">
              <w:rPr>
                <w:bCs/>
                <w:i/>
                <w:color w:val="000000"/>
                <w:sz w:val="20"/>
                <w:shd w:val="clear" w:color="auto" w:fill="FFFFFF"/>
              </w:rPr>
              <w:t xml:space="preserve"> в охороні здоров’я</w:t>
            </w:r>
          </w:p>
        </w:tc>
      </w:tr>
      <w:tr w:rsidR="008F3AF8" w:rsidRPr="009B41BE" w14:paraId="72EE6C95" w14:textId="77777777" w:rsidTr="008F3AF8">
        <w:trPr>
          <w:trHeight w:val="591"/>
        </w:trPr>
        <w:tc>
          <w:tcPr>
            <w:tcW w:w="3109" w:type="dxa"/>
            <w:vAlign w:val="bottom"/>
            <w:hideMark/>
          </w:tcPr>
          <w:p w14:paraId="3455A015" w14:textId="77777777" w:rsidR="008F3AF8" w:rsidRPr="00B27D4C" w:rsidRDefault="008F3AF8" w:rsidP="00B27D4C">
            <w:pPr>
              <w:spacing w:line="259" w:lineRule="auto"/>
              <w:rPr>
                <w:color w:val="000000"/>
                <w:shd w:val="clear" w:color="auto" w:fill="FFFFFF"/>
              </w:rPr>
            </w:pPr>
            <w:proofErr w:type="spellStart"/>
            <w:r w:rsidRPr="00B27D4C">
              <w:rPr>
                <w:color w:val="000000"/>
                <w:shd w:val="clear" w:color="auto" w:fill="FFFFFF"/>
              </w:rPr>
              <w:t>Обов</w:t>
            </w:r>
            <w:proofErr w:type="spellEnd"/>
            <w:r w:rsidRPr="00B27D4C">
              <w:rPr>
                <w:color w:val="000000"/>
                <w:shd w:val="clear" w:color="auto" w:fill="FFFFFF"/>
                <w:lang w:val="ru-RU"/>
              </w:rPr>
              <w:t>’</w:t>
            </w:r>
            <w:proofErr w:type="spellStart"/>
            <w:r w:rsidRPr="00B27D4C">
              <w:rPr>
                <w:color w:val="000000"/>
                <w:shd w:val="clear" w:color="auto" w:fill="FFFFFF"/>
              </w:rPr>
              <w:t>язки</w:t>
            </w:r>
            <w:proofErr w:type="spellEnd"/>
            <w:r w:rsidRPr="00B27D4C">
              <w:rPr>
                <w:color w:val="000000"/>
                <w:shd w:val="clear" w:color="auto" w:fill="FFFFFF"/>
              </w:rPr>
              <w:t xml:space="preserve"> держави в охороні </w:t>
            </w:r>
            <w:proofErr w:type="spellStart"/>
            <w:r w:rsidRPr="00B27D4C">
              <w:rPr>
                <w:color w:val="000000"/>
                <w:shd w:val="clear" w:color="auto" w:fill="FFFFFF"/>
              </w:rPr>
              <w:t>здоров</w:t>
            </w:r>
            <w:proofErr w:type="spellEnd"/>
            <w:r w:rsidRPr="00B27D4C">
              <w:rPr>
                <w:color w:val="000000"/>
                <w:shd w:val="clear" w:color="auto" w:fill="FFFFFF"/>
                <w:lang w:val="ru-RU"/>
              </w:rPr>
              <w:t>’</w:t>
            </w:r>
            <w:r w:rsidRPr="00B27D4C">
              <w:rPr>
                <w:color w:val="000000"/>
                <w:shd w:val="clear" w:color="auto" w:fill="FFFFFF"/>
              </w:rPr>
              <w:t>я:</w:t>
            </w:r>
          </w:p>
        </w:tc>
        <w:tc>
          <w:tcPr>
            <w:tcW w:w="3118" w:type="dxa"/>
            <w:hideMark/>
          </w:tcPr>
          <w:p w14:paraId="53EB1EDE" w14:textId="77777777" w:rsidR="008F3AF8" w:rsidRPr="008F3AF8" w:rsidRDefault="008F3AF8" w:rsidP="00B27D4C">
            <w:pPr>
              <w:spacing w:line="259" w:lineRule="auto"/>
              <w:rPr>
                <w:color w:val="000000"/>
                <w:shd w:val="clear" w:color="auto" w:fill="FFFFFF"/>
              </w:rPr>
            </w:pPr>
            <w:r w:rsidRPr="008F3AF8">
              <w:rPr>
                <w:bCs/>
                <w:color w:val="000000"/>
                <w:shd w:val="clear" w:color="auto" w:fill="FFFFFF"/>
              </w:rPr>
              <w:t>Існуюча парадигма</w:t>
            </w:r>
          </w:p>
          <w:p w14:paraId="7E0C114C" w14:textId="77777777" w:rsidR="008F3AF8" w:rsidRPr="008F3AF8" w:rsidRDefault="008F3AF8" w:rsidP="00B27D4C">
            <w:pPr>
              <w:spacing w:line="259" w:lineRule="auto"/>
              <w:rPr>
                <w:color w:val="000000"/>
                <w:shd w:val="clear" w:color="auto" w:fill="FFFFFF"/>
              </w:rPr>
            </w:pPr>
            <w:r w:rsidRPr="008F3AF8">
              <w:rPr>
                <w:bCs/>
                <w:color w:val="000000"/>
                <w:shd w:val="clear" w:color="auto" w:fill="FFFFFF"/>
              </w:rPr>
              <w:t>Радянська модель</w:t>
            </w:r>
          </w:p>
        </w:tc>
        <w:tc>
          <w:tcPr>
            <w:tcW w:w="3402" w:type="dxa"/>
            <w:hideMark/>
          </w:tcPr>
          <w:p w14:paraId="30008AF8" w14:textId="77777777" w:rsidR="008F3AF8" w:rsidRPr="008F3AF8" w:rsidRDefault="008F3AF8" w:rsidP="00B27D4C">
            <w:pPr>
              <w:spacing w:line="259" w:lineRule="auto"/>
              <w:rPr>
                <w:color w:val="000000"/>
                <w:shd w:val="clear" w:color="auto" w:fill="FFFFFF"/>
              </w:rPr>
            </w:pPr>
            <w:r w:rsidRPr="008F3AF8">
              <w:rPr>
                <w:bCs/>
                <w:color w:val="000000"/>
                <w:shd w:val="clear" w:color="auto" w:fill="FFFFFF"/>
              </w:rPr>
              <w:t>Нова парадигма</w:t>
            </w:r>
          </w:p>
          <w:p w14:paraId="1FE01766" w14:textId="77777777" w:rsidR="008F3AF8" w:rsidRPr="008F3AF8" w:rsidRDefault="008F3AF8" w:rsidP="00B27D4C">
            <w:pPr>
              <w:spacing w:line="259" w:lineRule="auto"/>
              <w:rPr>
                <w:color w:val="000000"/>
                <w:shd w:val="clear" w:color="auto" w:fill="FFFFFF"/>
              </w:rPr>
            </w:pPr>
            <w:r w:rsidRPr="008F3AF8">
              <w:rPr>
                <w:bCs/>
                <w:color w:val="000000"/>
                <w:shd w:val="clear" w:color="auto" w:fill="FFFFFF"/>
              </w:rPr>
              <w:t>Європейська модель</w:t>
            </w:r>
          </w:p>
        </w:tc>
      </w:tr>
      <w:tr w:rsidR="009B41BE" w:rsidRPr="009B41BE" w14:paraId="4E469EE6" w14:textId="77777777" w:rsidTr="000019EB">
        <w:trPr>
          <w:trHeight w:val="1408"/>
        </w:trPr>
        <w:tc>
          <w:tcPr>
            <w:tcW w:w="3109" w:type="dxa"/>
            <w:vAlign w:val="center"/>
            <w:hideMark/>
          </w:tcPr>
          <w:p w14:paraId="3FC889BD" w14:textId="77777777" w:rsidR="009B41BE" w:rsidRPr="00B27D4C" w:rsidRDefault="009B41BE" w:rsidP="00B27D4C">
            <w:pPr>
              <w:spacing w:line="259" w:lineRule="auto"/>
              <w:rPr>
                <w:color w:val="000000"/>
                <w:shd w:val="clear" w:color="auto" w:fill="FFFFFF"/>
              </w:rPr>
            </w:pPr>
            <w:r w:rsidRPr="00B27D4C">
              <w:rPr>
                <w:i/>
                <w:iCs/>
                <w:color w:val="000000"/>
                <w:shd w:val="clear" w:color="auto" w:fill="FFFFFF"/>
              </w:rPr>
              <w:t>Фінансування</w:t>
            </w:r>
          </w:p>
        </w:tc>
        <w:tc>
          <w:tcPr>
            <w:tcW w:w="3118" w:type="dxa"/>
            <w:vAlign w:val="center"/>
            <w:hideMark/>
          </w:tcPr>
          <w:p w14:paraId="0B58EA03" w14:textId="77777777" w:rsidR="009B41BE" w:rsidRPr="00B27D4C" w:rsidRDefault="00881979" w:rsidP="000019EB">
            <w:pPr>
              <w:spacing w:line="259" w:lineRule="auto"/>
              <w:rPr>
                <w:color w:val="000000"/>
                <w:shd w:val="clear" w:color="auto" w:fill="FFFFFF"/>
              </w:rPr>
            </w:pPr>
            <w:r>
              <w:rPr>
                <w:color w:val="000000"/>
                <w:shd w:val="clear" w:color="auto" w:fill="FFFFFF"/>
              </w:rPr>
              <w:t>Іде за інфраструктурою.</w:t>
            </w:r>
            <w:r w:rsidR="009B41BE" w:rsidRPr="00B27D4C">
              <w:rPr>
                <w:color w:val="000000"/>
                <w:shd w:val="clear" w:color="auto" w:fill="FFFFFF"/>
              </w:rPr>
              <w:t xml:space="preserve"> </w:t>
            </w:r>
            <w:r>
              <w:rPr>
                <w:color w:val="000000"/>
                <w:shd w:val="clear" w:color="auto" w:fill="FFFFFF"/>
              </w:rPr>
              <w:t xml:space="preserve">Механізм: </w:t>
            </w:r>
            <w:r w:rsidR="009B41BE" w:rsidRPr="00B27D4C">
              <w:rPr>
                <w:color w:val="000000"/>
                <w:shd w:val="clear" w:color="auto" w:fill="FFFFFF"/>
              </w:rPr>
              <w:t>трансферти (ресурси з центру</w:t>
            </w:r>
            <w:r>
              <w:rPr>
                <w:color w:val="000000"/>
                <w:shd w:val="clear" w:color="auto" w:fill="FFFFFF"/>
              </w:rPr>
              <w:t xml:space="preserve"> за делегованою функцією</w:t>
            </w:r>
            <w:r w:rsidR="009B41BE" w:rsidRPr="00B27D4C">
              <w:rPr>
                <w:color w:val="000000"/>
                <w:shd w:val="clear" w:color="auto" w:fill="FFFFFF"/>
              </w:rPr>
              <w:t>)</w:t>
            </w:r>
            <w:r>
              <w:rPr>
                <w:color w:val="000000"/>
                <w:shd w:val="clear" w:color="auto" w:fill="FFFFFF"/>
              </w:rPr>
              <w:t xml:space="preserve"> та кошториси.</w:t>
            </w:r>
          </w:p>
        </w:tc>
        <w:tc>
          <w:tcPr>
            <w:tcW w:w="3402" w:type="dxa"/>
            <w:vAlign w:val="center"/>
            <w:hideMark/>
          </w:tcPr>
          <w:p w14:paraId="6D161A1A" w14:textId="77777777" w:rsidR="009B41BE" w:rsidRPr="00B27D4C" w:rsidRDefault="00881979" w:rsidP="000019EB">
            <w:pPr>
              <w:spacing w:line="259" w:lineRule="auto"/>
              <w:rPr>
                <w:color w:val="000000"/>
                <w:shd w:val="clear" w:color="auto" w:fill="FFFFFF"/>
              </w:rPr>
            </w:pPr>
            <w:r>
              <w:rPr>
                <w:color w:val="000000"/>
                <w:shd w:val="clear" w:color="auto" w:fill="FFFFFF"/>
              </w:rPr>
              <w:t>Іде за результатом (послугою)</w:t>
            </w:r>
          </w:p>
          <w:p w14:paraId="03F44D50" w14:textId="12767649" w:rsidR="009B41BE" w:rsidRPr="00B27D4C" w:rsidRDefault="00881979" w:rsidP="000019EB">
            <w:pPr>
              <w:spacing w:line="259" w:lineRule="auto"/>
              <w:rPr>
                <w:color w:val="000000"/>
                <w:shd w:val="clear" w:color="auto" w:fill="FFFFFF"/>
              </w:rPr>
            </w:pPr>
            <w:r>
              <w:rPr>
                <w:color w:val="000000"/>
                <w:shd w:val="clear" w:color="auto" w:fill="FFFFFF"/>
              </w:rPr>
              <w:t>Механізм</w:t>
            </w:r>
            <w:r w:rsidR="009B41BE" w:rsidRPr="00B27D4C">
              <w:rPr>
                <w:color w:val="000000"/>
                <w:shd w:val="clear" w:color="auto" w:fill="FFFFFF"/>
              </w:rPr>
              <w:t xml:space="preserve">: </w:t>
            </w:r>
            <w:proofErr w:type="spellStart"/>
            <w:r w:rsidR="009B41BE" w:rsidRPr="00B27D4C">
              <w:rPr>
                <w:color w:val="000000"/>
                <w:shd w:val="clear" w:color="auto" w:fill="FFFFFF"/>
              </w:rPr>
              <w:t>контрактування</w:t>
            </w:r>
            <w:proofErr w:type="spellEnd"/>
            <w:r w:rsidR="009F1180">
              <w:rPr>
                <w:color w:val="000000"/>
                <w:shd w:val="clear" w:color="auto" w:fill="FFFFFF"/>
              </w:rPr>
              <w:t xml:space="preserve"> закладів в межах гарантованого державною </w:t>
            </w:r>
            <w:r w:rsidR="000019EB">
              <w:rPr>
                <w:color w:val="000000"/>
                <w:shd w:val="clear" w:color="auto" w:fill="FFFFFF"/>
              </w:rPr>
              <w:t>обсягу</w:t>
            </w:r>
            <w:r w:rsidR="009F1180">
              <w:rPr>
                <w:color w:val="000000"/>
                <w:shd w:val="clear" w:color="auto" w:fill="FFFFFF"/>
              </w:rPr>
              <w:t xml:space="preserve"> послуг.</w:t>
            </w:r>
          </w:p>
        </w:tc>
      </w:tr>
      <w:tr w:rsidR="009B41BE" w:rsidRPr="009B41BE" w14:paraId="2F43C81E" w14:textId="77777777" w:rsidTr="000019EB">
        <w:trPr>
          <w:trHeight w:val="1260"/>
        </w:trPr>
        <w:tc>
          <w:tcPr>
            <w:tcW w:w="3109" w:type="dxa"/>
            <w:vAlign w:val="center"/>
            <w:hideMark/>
          </w:tcPr>
          <w:p w14:paraId="064AB72C" w14:textId="77777777" w:rsidR="009B41BE" w:rsidRPr="00B27D4C" w:rsidRDefault="009B41BE" w:rsidP="00B27D4C">
            <w:pPr>
              <w:spacing w:line="259" w:lineRule="auto"/>
              <w:rPr>
                <w:color w:val="000000"/>
                <w:shd w:val="clear" w:color="auto" w:fill="FFFFFF"/>
              </w:rPr>
            </w:pPr>
            <w:r w:rsidRPr="00B27D4C">
              <w:rPr>
                <w:i/>
                <w:iCs/>
                <w:color w:val="000000"/>
                <w:shd w:val="clear" w:color="auto" w:fill="FFFFFF"/>
              </w:rPr>
              <w:lastRenderedPageBreak/>
              <w:t>Утримання закладів</w:t>
            </w:r>
          </w:p>
        </w:tc>
        <w:tc>
          <w:tcPr>
            <w:tcW w:w="3118" w:type="dxa"/>
            <w:vAlign w:val="center"/>
            <w:hideMark/>
          </w:tcPr>
          <w:p w14:paraId="7B61CFBF" w14:textId="65A498EC" w:rsidR="009B41BE" w:rsidRPr="00B27D4C" w:rsidRDefault="009B41BE" w:rsidP="000019EB">
            <w:pPr>
              <w:spacing w:line="259" w:lineRule="auto"/>
              <w:rPr>
                <w:color w:val="000000"/>
                <w:shd w:val="clear" w:color="auto" w:fill="FFFFFF"/>
              </w:rPr>
            </w:pPr>
            <w:r w:rsidRPr="00B27D4C">
              <w:rPr>
                <w:color w:val="000000"/>
                <w:shd w:val="clear" w:color="auto" w:fill="FFFFFF"/>
              </w:rPr>
              <w:t>Всі рівні</w:t>
            </w:r>
            <w:r w:rsidR="000019EB">
              <w:rPr>
                <w:color w:val="000000"/>
                <w:shd w:val="clear" w:color="auto" w:fill="FFFFFF"/>
              </w:rPr>
              <w:t xml:space="preserve"> влади</w:t>
            </w:r>
            <w:r w:rsidRPr="00B27D4C">
              <w:rPr>
                <w:color w:val="000000"/>
                <w:shd w:val="clear" w:color="auto" w:fill="FFFFFF"/>
              </w:rPr>
              <w:t xml:space="preserve"> утримують заклади </w:t>
            </w:r>
            <w:r w:rsidR="00C1661A">
              <w:rPr>
                <w:color w:val="000000"/>
                <w:shd w:val="clear" w:color="auto" w:fill="FFFFFF"/>
              </w:rPr>
              <w:t>різних рівнів допомоги – як функцію, делеговану з центру.</w:t>
            </w:r>
          </w:p>
        </w:tc>
        <w:tc>
          <w:tcPr>
            <w:tcW w:w="3402" w:type="dxa"/>
            <w:vAlign w:val="center"/>
            <w:hideMark/>
          </w:tcPr>
          <w:p w14:paraId="726BDE80" w14:textId="77777777" w:rsidR="009B41BE" w:rsidRPr="00B27D4C" w:rsidRDefault="00C1661A" w:rsidP="000019EB">
            <w:pPr>
              <w:spacing w:line="259" w:lineRule="auto"/>
              <w:rPr>
                <w:color w:val="000000"/>
                <w:shd w:val="clear" w:color="auto" w:fill="FFFFFF"/>
              </w:rPr>
            </w:pPr>
            <w:r>
              <w:rPr>
                <w:color w:val="000000"/>
                <w:shd w:val="clear" w:color="auto" w:fill="FFFFFF"/>
              </w:rPr>
              <w:t>Утримання не є функцією держави та місцевих органів влади. Заклад створює та утримує його власник: громада, приватний інвестор тощо.</w:t>
            </w:r>
          </w:p>
        </w:tc>
      </w:tr>
      <w:tr w:rsidR="009B41BE" w:rsidRPr="009B41BE" w14:paraId="7B885BDC" w14:textId="77777777" w:rsidTr="000019EB">
        <w:trPr>
          <w:trHeight w:val="1109"/>
        </w:trPr>
        <w:tc>
          <w:tcPr>
            <w:tcW w:w="3109" w:type="dxa"/>
            <w:vAlign w:val="center"/>
            <w:hideMark/>
          </w:tcPr>
          <w:p w14:paraId="5660E4DD" w14:textId="77777777" w:rsidR="009B41BE" w:rsidRPr="00B27D4C" w:rsidRDefault="009B41BE" w:rsidP="00B27D4C">
            <w:pPr>
              <w:spacing w:line="259" w:lineRule="auto"/>
              <w:rPr>
                <w:color w:val="000000"/>
                <w:shd w:val="clear" w:color="auto" w:fill="FFFFFF"/>
              </w:rPr>
            </w:pPr>
            <w:r w:rsidRPr="00B27D4C">
              <w:rPr>
                <w:i/>
                <w:iCs/>
                <w:color w:val="000000"/>
                <w:shd w:val="clear" w:color="auto" w:fill="FFFFFF"/>
              </w:rPr>
              <w:t>Надання послуг</w:t>
            </w:r>
          </w:p>
        </w:tc>
        <w:tc>
          <w:tcPr>
            <w:tcW w:w="3118" w:type="dxa"/>
            <w:vAlign w:val="center"/>
            <w:hideMark/>
          </w:tcPr>
          <w:p w14:paraId="5E38D471" w14:textId="77777777" w:rsidR="009B41BE" w:rsidRPr="00B27D4C" w:rsidRDefault="009B41BE" w:rsidP="000019EB">
            <w:pPr>
              <w:spacing w:line="259" w:lineRule="auto"/>
              <w:rPr>
                <w:color w:val="000000"/>
                <w:shd w:val="clear" w:color="auto" w:fill="FFFFFF"/>
              </w:rPr>
            </w:pPr>
            <w:r w:rsidRPr="00B27D4C">
              <w:rPr>
                <w:color w:val="000000"/>
                <w:shd w:val="clear" w:color="auto" w:fill="FFFFFF"/>
              </w:rPr>
              <w:t>Бюджетні заклади на основі</w:t>
            </w:r>
            <w:r w:rsidR="0016266F">
              <w:rPr>
                <w:color w:val="000000"/>
                <w:shd w:val="clear" w:color="auto" w:fill="FFFFFF"/>
              </w:rPr>
              <w:t xml:space="preserve"> делегованих</w:t>
            </w:r>
            <w:r w:rsidRPr="00B27D4C">
              <w:rPr>
                <w:color w:val="000000"/>
                <w:shd w:val="clear" w:color="auto" w:fill="FFFFFF"/>
              </w:rPr>
              <w:t xml:space="preserve"> </w:t>
            </w:r>
            <w:proofErr w:type="spellStart"/>
            <w:r w:rsidRPr="00B27D4C">
              <w:rPr>
                <w:color w:val="000000"/>
                <w:shd w:val="clear" w:color="auto" w:fill="FFFFFF"/>
              </w:rPr>
              <w:t>зобов</w:t>
            </w:r>
            <w:proofErr w:type="spellEnd"/>
            <w:r w:rsidRPr="00B27D4C">
              <w:rPr>
                <w:color w:val="000000"/>
                <w:shd w:val="clear" w:color="auto" w:fill="FFFFFF"/>
                <w:lang w:val="ru-RU"/>
              </w:rPr>
              <w:t>’</w:t>
            </w:r>
            <w:proofErr w:type="spellStart"/>
            <w:r w:rsidRPr="00B27D4C">
              <w:rPr>
                <w:color w:val="000000"/>
                <w:shd w:val="clear" w:color="auto" w:fill="FFFFFF"/>
              </w:rPr>
              <w:t>язань</w:t>
            </w:r>
            <w:proofErr w:type="spellEnd"/>
            <w:r w:rsidRPr="00B27D4C">
              <w:rPr>
                <w:color w:val="000000"/>
                <w:shd w:val="clear" w:color="auto" w:fill="FFFFFF"/>
              </w:rPr>
              <w:t xml:space="preserve"> надають весь обсяг медичної допомоги</w:t>
            </w:r>
            <w:r w:rsidR="009F1180">
              <w:rPr>
                <w:color w:val="000000"/>
                <w:shd w:val="clear" w:color="auto" w:fill="FFFFFF"/>
              </w:rPr>
              <w:t>.</w:t>
            </w:r>
          </w:p>
        </w:tc>
        <w:tc>
          <w:tcPr>
            <w:tcW w:w="3402" w:type="dxa"/>
            <w:vAlign w:val="center"/>
            <w:hideMark/>
          </w:tcPr>
          <w:p w14:paraId="453ACAF1" w14:textId="6257DBB3" w:rsidR="009B41BE" w:rsidRPr="00B27D4C" w:rsidRDefault="000019EB" w:rsidP="000019EB">
            <w:pPr>
              <w:spacing w:line="259" w:lineRule="auto"/>
              <w:rPr>
                <w:color w:val="000000"/>
                <w:shd w:val="clear" w:color="auto" w:fill="FFFFFF"/>
              </w:rPr>
            </w:pPr>
            <w:r>
              <w:rPr>
                <w:color w:val="000000"/>
                <w:shd w:val="clear" w:color="auto" w:fill="FFFFFF"/>
              </w:rPr>
              <w:t>Є</w:t>
            </w:r>
            <w:r w:rsidR="0016266F">
              <w:rPr>
                <w:color w:val="000000"/>
                <w:shd w:val="clear" w:color="auto" w:fill="FFFFFF"/>
              </w:rPr>
              <w:t xml:space="preserve"> функцією</w:t>
            </w:r>
            <w:r>
              <w:rPr>
                <w:color w:val="000000"/>
                <w:shd w:val="clear" w:color="auto" w:fill="FFFFFF"/>
              </w:rPr>
              <w:t xml:space="preserve"> закладів, а не</w:t>
            </w:r>
            <w:r w:rsidR="0016266F">
              <w:rPr>
                <w:color w:val="000000"/>
                <w:shd w:val="clear" w:color="auto" w:fill="FFFFFF"/>
              </w:rPr>
              <w:t xml:space="preserve"> держави: а</w:t>
            </w:r>
            <w:r w:rsidR="009B41BE" w:rsidRPr="00B27D4C">
              <w:rPr>
                <w:color w:val="000000"/>
                <w:shd w:val="clear" w:color="auto" w:fill="FFFFFF"/>
              </w:rPr>
              <w:t>втономні заклади на основі контрактів з з</w:t>
            </w:r>
            <w:r w:rsidR="0016266F">
              <w:rPr>
                <w:color w:val="000000"/>
                <w:shd w:val="clear" w:color="auto" w:fill="FFFFFF"/>
              </w:rPr>
              <w:t>амовником</w:t>
            </w:r>
            <w:r w:rsidR="009B41BE" w:rsidRPr="00B27D4C">
              <w:rPr>
                <w:color w:val="000000"/>
                <w:shd w:val="clear" w:color="auto" w:fill="FFFFFF"/>
              </w:rPr>
              <w:t xml:space="preserve"> надають визначений обсяг медичних послуг</w:t>
            </w:r>
            <w:r w:rsidR="009F1180">
              <w:rPr>
                <w:color w:val="000000"/>
                <w:shd w:val="clear" w:color="auto" w:fill="FFFFFF"/>
              </w:rPr>
              <w:t>.</w:t>
            </w:r>
          </w:p>
        </w:tc>
      </w:tr>
    </w:tbl>
    <w:p w14:paraId="2444FAAF" w14:textId="278F6C1B" w:rsidR="001E5070" w:rsidRPr="00D16130" w:rsidRDefault="00482148" w:rsidP="00635A6F">
      <w:pPr>
        <w:spacing w:before="240"/>
        <w:jc w:val="both"/>
        <w:rPr>
          <w:color w:val="000000"/>
          <w:shd w:val="clear" w:color="auto" w:fill="FFFFFF"/>
        </w:rPr>
      </w:pPr>
      <w:r>
        <w:t xml:space="preserve">Таким чином, говорячи про децентралізацію як про </w:t>
      </w:r>
      <w:r w:rsidR="003917CB">
        <w:t>«</w:t>
      </w:r>
      <w:r w:rsidR="003917CB">
        <w:rPr>
          <w:color w:val="000000"/>
          <w:shd w:val="clear" w:color="auto" w:fill="FFFFFF"/>
        </w:rPr>
        <w:t>створення належних матеріальних, фінансових та організаційних умов для забезпечення здійснення органами місцевого самоврядування власних і делегованих повноважень»</w:t>
      </w:r>
      <w:r w:rsidR="00232908">
        <w:rPr>
          <w:rStyle w:val="a6"/>
          <w:color w:val="000000"/>
          <w:shd w:val="clear" w:color="auto" w:fill="FFFFFF"/>
        </w:rPr>
        <w:footnoteReference w:id="5"/>
      </w:r>
      <w:r>
        <w:rPr>
          <w:color w:val="000000"/>
          <w:shd w:val="clear" w:color="auto" w:fill="FFFFFF"/>
        </w:rPr>
        <w:t xml:space="preserve">, </w:t>
      </w:r>
      <w:r w:rsidR="002B122B">
        <w:rPr>
          <w:color w:val="000000"/>
          <w:shd w:val="clear" w:color="auto" w:fill="FFFFFF"/>
        </w:rPr>
        <w:t>слід</w:t>
      </w:r>
      <w:r>
        <w:rPr>
          <w:color w:val="000000"/>
          <w:shd w:val="clear" w:color="auto" w:fill="FFFFFF"/>
        </w:rPr>
        <w:t xml:space="preserve"> </w:t>
      </w:r>
      <w:r w:rsidR="002B122B">
        <w:rPr>
          <w:color w:val="000000"/>
          <w:shd w:val="clear" w:color="auto" w:fill="FFFFFF"/>
        </w:rPr>
        <w:t xml:space="preserve">чітко усвідомити, що «власні та делеговані повноваження» в охороні здоров’я в новій системі </w:t>
      </w:r>
      <w:r w:rsidR="002B122B" w:rsidRPr="00232908">
        <w:rPr>
          <w:i/>
          <w:color w:val="000000"/>
          <w:shd w:val="clear" w:color="auto" w:fill="FFFFFF"/>
        </w:rPr>
        <w:t>не передбачають утримання бюджетних закладів та їх фінансування</w:t>
      </w:r>
      <w:r w:rsidR="003917CB">
        <w:rPr>
          <w:color w:val="000000"/>
          <w:shd w:val="clear" w:color="auto" w:fill="FFFFFF"/>
        </w:rPr>
        <w:t>.</w:t>
      </w:r>
      <w:r w:rsidR="002B122B">
        <w:rPr>
          <w:color w:val="000000"/>
          <w:shd w:val="clear" w:color="auto" w:fill="FFFFFF"/>
        </w:rPr>
        <w:t xml:space="preserve"> </w:t>
      </w:r>
      <w:r w:rsidR="00165BFC">
        <w:rPr>
          <w:color w:val="000000"/>
          <w:shd w:val="clear" w:color="auto" w:fill="FFFFFF"/>
        </w:rPr>
        <w:t xml:space="preserve">Роль органів місцевого самоврядування зміниться в бік розробки регіональної політики, реалізації місцевих програм та здійснення функцій з надання послуг </w:t>
      </w:r>
      <w:r w:rsidR="00232908">
        <w:rPr>
          <w:color w:val="000000"/>
          <w:shd w:val="clear" w:color="auto" w:fill="FFFFFF"/>
        </w:rPr>
        <w:t>громадського здоров’я</w:t>
      </w:r>
      <w:r w:rsidR="00165BFC" w:rsidRPr="00D16130">
        <w:rPr>
          <w:color w:val="000000"/>
          <w:shd w:val="clear" w:color="auto" w:fill="FFFFFF"/>
        </w:rPr>
        <w:t xml:space="preserve">. </w:t>
      </w:r>
      <w:r w:rsidR="006757D4" w:rsidRPr="00D16130">
        <w:rPr>
          <w:color w:val="000000"/>
          <w:shd w:val="clear" w:color="auto" w:fill="FFFFFF"/>
        </w:rPr>
        <w:t>Ці функції, зокрема,</w:t>
      </w:r>
      <w:r w:rsidR="001E5070" w:rsidRPr="00D16130">
        <w:rPr>
          <w:color w:val="000000"/>
          <w:shd w:val="clear" w:color="auto" w:fill="FFFFFF"/>
        </w:rPr>
        <w:t xml:space="preserve"> включають</w:t>
      </w:r>
      <w:r w:rsidR="006757D4" w:rsidRPr="00D16130">
        <w:rPr>
          <w:color w:val="000000"/>
          <w:shd w:val="clear" w:color="auto" w:fill="FFFFFF"/>
        </w:rPr>
        <w:t xml:space="preserve"> наступне</w:t>
      </w:r>
      <w:r w:rsidR="001E5070" w:rsidRPr="00D16130">
        <w:rPr>
          <w:color w:val="000000"/>
          <w:shd w:val="clear" w:color="auto" w:fill="FFFFFF"/>
        </w:rPr>
        <w:t xml:space="preserve"> (але не обмеж</w:t>
      </w:r>
      <w:r w:rsidR="006757D4" w:rsidRPr="00D16130">
        <w:rPr>
          <w:color w:val="000000"/>
          <w:shd w:val="clear" w:color="auto" w:fill="FFFFFF"/>
        </w:rPr>
        <w:t>ені цим</w:t>
      </w:r>
      <w:r w:rsidR="001E5070" w:rsidRPr="00D16130">
        <w:rPr>
          <w:color w:val="000000"/>
          <w:shd w:val="clear" w:color="auto" w:fill="FFFFFF"/>
        </w:rPr>
        <w:t>):</w:t>
      </w:r>
    </w:p>
    <w:p w14:paraId="44331955" w14:textId="775F9D54" w:rsidR="006757D4" w:rsidRPr="00D16130" w:rsidRDefault="006757D4" w:rsidP="001E5070">
      <w:pPr>
        <w:pStyle w:val="a7"/>
        <w:numPr>
          <w:ilvl w:val="0"/>
          <w:numId w:val="11"/>
        </w:numPr>
        <w:spacing w:before="240"/>
        <w:jc w:val="both"/>
        <w:rPr>
          <w:color w:val="000000"/>
          <w:shd w:val="clear" w:color="auto" w:fill="FFFFFF"/>
        </w:rPr>
      </w:pPr>
      <w:r w:rsidRPr="00D16130">
        <w:rPr>
          <w:color w:val="000000"/>
          <w:shd w:val="clear" w:color="auto" w:fill="FFFFFF"/>
        </w:rPr>
        <w:t>Залучення населення громад до питань промоції здорового способу життя;</w:t>
      </w:r>
    </w:p>
    <w:p w14:paraId="6599F47C" w14:textId="18A4EF02" w:rsidR="001E5070" w:rsidRPr="00D16130" w:rsidRDefault="006757D4" w:rsidP="001E5070">
      <w:pPr>
        <w:pStyle w:val="a7"/>
        <w:numPr>
          <w:ilvl w:val="0"/>
          <w:numId w:val="11"/>
        </w:numPr>
        <w:spacing w:before="240"/>
        <w:jc w:val="both"/>
        <w:rPr>
          <w:color w:val="000000"/>
          <w:shd w:val="clear" w:color="auto" w:fill="FFFFFF"/>
        </w:rPr>
      </w:pPr>
      <w:r w:rsidRPr="00D16130">
        <w:rPr>
          <w:color w:val="000000"/>
          <w:shd w:val="clear" w:color="auto" w:fill="FFFFFF"/>
        </w:rPr>
        <w:t>Створення умов для закріплення медичних кадрів в сільській місцевості;</w:t>
      </w:r>
    </w:p>
    <w:p w14:paraId="4BFF80B8" w14:textId="7458275D" w:rsidR="006757D4" w:rsidRPr="00D16130" w:rsidRDefault="006757D4" w:rsidP="001E5070">
      <w:pPr>
        <w:pStyle w:val="a7"/>
        <w:numPr>
          <w:ilvl w:val="0"/>
          <w:numId w:val="11"/>
        </w:numPr>
        <w:spacing w:before="240"/>
        <w:jc w:val="both"/>
        <w:rPr>
          <w:color w:val="000000"/>
          <w:shd w:val="clear" w:color="auto" w:fill="FFFFFF"/>
        </w:rPr>
      </w:pPr>
      <w:r w:rsidRPr="00D16130">
        <w:rPr>
          <w:color w:val="000000"/>
          <w:shd w:val="clear" w:color="auto" w:fill="FFFFFF"/>
        </w:rPr>
        <w:t>Розвиток соціальної інфраструктури для забезпечення доступу до послуг охорони здоров’я (наприклад, ремонт доріг або надання транспорту для медичного обслуговування віддалених сіл, в яких немає медичних закладів);</w:t>
      </w:r>
    </w:p>
    <w:p w14:paraId="19F86C17" w14:textId="4F8EC14C" w:rsidR="006757D4" w:rsidRPr="00D16130" w:rsidRDefault="006757D4" w:rsidP="001E5070">
      <w:pPr>
        <w:pStyle w:val="a7"/>
        <w:numPr>
          <w:ilvl w:val="0"/>
          <w:numId w:val="11"/>
        </w:numPr>
        <w:spacing w:before="240"/>
        <w:jc w:val="both"/>
        <w:rPr>
          <w:color w:val="000000"/>
          <w:shd w:val="clear" w:color="auto" w:fill="FFFFFF"/>
        </w:rPr>
      </w:pPr>
      <w:r w:rsidRPr="00D16130">
        <w:rPr>
          <w:color w:val="000000"/>
          <w:shd w:val="clear" w:color="auto" w:fill="FFFFFF"/>
        </w:rPr>
        <w:t xml:space="preserve">Забезпечення транспортування пацієнтів та </w:t>
      </w:r>
      <w:proofErr w:type="spellStart"/>
      <w:r w:rsidRPr="00D16130">
        <w:rPr>
          <w:color w:val="000000"/>
          <w:shd w:val="clear" w:color="auto" w:fill="FFFFFF"/>
        </w:rPr>
        <w:t>породіль</w:t>
      </w:r>
      <w:proofErr w:type="spellEnd"/>
      <w:r w:rsidRPr="00D16130">
        <w:rPr>
          <w:color w:val="000000"/>
          <w:shd w:val="clear" w:color="auto" w:fill="FFFFFF"/>
        </w:rPr>
        <w:t xml:space="preserve"> до лікарняних закладів;</w:t>
      </w:r>
    </w:p>
    <w:p w14:paraId="329A5B33" w14:textId="4A9B7AD2" w:rsidR="006757D4" w:rsidRPr="00D16130" w:rsidRDefault="006757D4" w:rsidP="001E5070">
      <w:pPr>
        <w:pStyle w:val="a7"/>
        <w:numPr>
          <w:ilvl w:val="0"/>
          <w:numId w:val="11"/>
        </w:numPr>
        <w:spacing w:before="240"/>
        <w:jc w:val="both"/>
        <w:rPr>
          <w:color w:val="000000"/>
          <w:shd w:val="clear" w:color="auto" w:fill="FFFFFF"/>
        </w:rPr>
      </w:pPr>
      <w:r w:rsidRPr="00D16130">
        <w:rPr>
          <w:color w:val="000000"/>
          <w:shd w:val="clear" w:color="auto" w:fill="FFFFFF"/>
        </w:rPr>
        <w:t>Залучення соціальних працівників до надання допомоги окремим вразливим групам населення; або під час реабілітації після перенесених захворювань (інсульт, інфаркт міокарду, травми);</w:t>
      </w:r>
    </w:p>
    <w:p w14:paraId="5356F901" w14:textId="545C2EBF" w:rsidR="006757D4" w:rsidRPr="00D16130" w:rsidRDefault="00FA3A5D" w:rsidP="001E5070">
      <w:pPr>
        <w:pStyle w:val="a7"/>
        <w:numPr>
          <w:ilvl w:val="0"/>
          <w:numId w:val="11"/>
        </w:numPr>
        <w:spacing w:before="240"/>
        <w:jc w:val="both"/>
        <w:rPr>
          <w:color w:val="000000"/>
          <w:shd w:val="clear" w:color="auto" w:fill="FFFFFF"/>
        </w:rPr>
      </w:pPr>
      <w:r w:rsidRPr="00D16130">
        <w:rPr>
          <w:color w:val="000000"/>
          <w:shd w:val="clear" w:color="auto" w:fill="FFFFFF"/>
        </w:rPr>
        <w:t>Підтримка роботи медичних закладів, розташованих на території громад шляхом благоустрою прилеглих територій, підтримки роботи допоміжних служб (</w:t>
      </w:r>
      <w:proofErr w:type="spellStart"/>
      <w:r w:rsidRPr="00D16130">
        <w:rPr>
          <w:color w:val="000000"/>
          <w:shd w:val="clear" w:color="auto" w:fill="FFFFFF"/>
        </w:rPr>
        <w:t>клінінгові</w:t>
      </w:r>
      <w:proofErr w:type="spellEnd"/>
      <w:r w:rsidRPr="00D16130">
        <w:rPr>
          <w:color w:val="000000"/>
          <w:shd w:val="clear" w:color="auto" w:fill="FFFFFF"/>
        </w:rPr>
        <w:t xml:space="preserve"> послуги, організація харчування, </w:t>
      </w:r>
      <w:proofErr w:type="spellStart"/>
      <w:r w:rsidRPr="00D16130">
        <w:rPr>
          <w:color w:val="000000"/>
          <w:shd w:val="clear" w:color="auto" w:fill="FFFFFF"/>
        </w:rPr>
        <w:t>електро</w:t>
      </w:r>
      <w:proofErr w:type="spellEnd"/>
      <w:r w:rsidRPr="00D16130">
        <w:rPr>
          <w:color w:val="000000"/>
          <w:shd w:val="clear" w:color="auto" w:fill="FFFFFF"/>
        </w:rPr>
        <w:t>- та водопостачання тощо);</w:t>
      </w:r>
    </w:p>
    <w:p w14:paraId="4D65C5A5" w14:textId="5EBC8364" w:rsidR="00FA3A5D" w:rsidRPr="00D16130" w:rsidRDefault="00CD3D0B" w:rsidP="001E5070">
      <w:pPr>
        <w:pStyle w:val="a7"/>
        <w:numPr>
          <w:ilvl w:val="0"/>
          <w:numId w:val="11"/>
        </w:numPr>
        <w:spacing w:before="240"/>
        <w:jc w:val="both"/>
        <w:rPr>
          <w:color w:val="000000"/>
          <w:shd w:val="clear" w:color="auto" w:fill="FFFFFF"/>
        </w:rPr>
      </w:pPr>
      <w:r w:rsidRPr="00D16130">
        <w:rPr>
          <w:color w:val="000000"/>
          <w:shd w:val="clear" w:color="auto" w:fill="FFFFFF"/>
        </w:rPr>
        <w:t>Сприяння в організації контролю з боку населення громади за дотриманням прав громадян при отриманні медичних послуг;</w:t>
      </w:r>
    </w:p>
    <w:p w14:paraId="3938FEBC" w14:textId="05010DB9" w:rsidR="003917CB" w:rsidRPr="002B122B" w:rsidRDefault="00165BFC" w:rsidP="00635A6F">
      <w:pPr>
        <w:spacing w:before="240"/>
        <w:jc w:val="both"/>
        <w:rPr>
          <w:color w:val="000000"/>
          <w:shd w:val="clear" w:color="auto" w:fill="FFFFFF"/>
        </w:rPr>
      </w:pPr>
      <w:r>
        <w:rPr>
          <w:color w:val="000000"/>
          <w:shd w:val="clear" w:color="auto" w:fill="FFFFFF"/>
        </w:rPr>
        <w:t>Щодо закладів охорони здоров’я роль місцевої влади зведеться до того аби бути відповідальними власниками медичних закладів</w:t>
      </w:r>
      <w:r w:rsidR="00232908">
        <w:rPr>
          <w:color w:val="000000"/>
          <w:shd w:val="clear" w:color="auto" w:fill="FFFFFF"/>
        </w:rPr>
        <w:t>,</w:t>
      </w:r>
      <w:r w:rsidR="003157CD">
        <w:rPr>
          <w:color w:val="000000"/>
          <w:shd w:val="clear" w:color="auto" w:fill="FFFFFF"/>
        </w:rPr>
        <w:t xml:space="preserve"> створюючи умови для їх ефективного функціонування, але</w:t>
      </w:r>
      <w:r w:rsidR="00232908">
        <w:rPr>
          <w:color w:val="000000"/>
          <w:shd w:val="clear" w:color="auto" w:fill="FFFFFF"/>
        </w:rPr>
        <w:t xml:space="preserve"> не беручи безпосередньої участі в </w:t>
      </w:r>
      <w:r w:rsidR="000019EB">
        <w:rPr>
          <w:color w:val="000000"/>
          <w:shd w:val="clear" w:color="auto" w:fill="FFFFFF"/>
        </w:rPr>
        <w:t xml:space="preserve">щоденному </w:t>
      </w:r>
      <w:r w:rsidR="00232908">
        <w:rPr>
          <w:color w:val="000000"/>
          <w:shd w:val="clear" w:color="auto" w:fill="FFFFFF"/>
        </w:rPr>
        <w:t>управлінні ними</w:t>
      </w:r>
      <w:r>
        <w:rPr>
          <w:color w:val="000000"/>
          <w:shd w:val="clear" w:color="auto" w:fill="FFFFFF"/>
        </w:rPr>
        <w:t xml:space="preserve">. </w:t>
      </w:r>
      <w:r w:rsidR="002B122B">
        <w:rPr>
          <w:color w:val="000000"/>
          <w:shd w:val="clear" w:color="auto" w:fill="FFFFFF"/>
        </w:rPr>
        <w:t xml:space="preserve"> </w:t>
      </w:r>
      <w:r w:rsidR="00635A6F">
        <w:rPr>
          <w:color w:val="000000"/>
          <w:shd w:val="clear" w:color="auto" w:fill="FFFFFF"/>
        </w:rPr>
        <w:t xml:space="preserve"> </w:t>
      </w:r>
    </w:p>
    <w:p w14:paraId="5A9136DB" w14:textId="77777777" w:rsidR="00AA51E8" w:rsidRDefault="00733E4A" w:rsidP="00733E4A">
      <w:pPr>
        <w:pStyle w:val="1"/>
        <w:rPr>
          <w:shd w:val="clear" w:color="auto" w:fill="FFFFFF"/>
        </w:rPr>
      </w:pPr>
      <w:r>
        <w:rPr>
          <w:shd w:val="clear" w:color="auto" w:fill="FFFFFF"/>
        </w:rPr>
        <w:t>Модернізація</w:t>
      </w:r>
      <w:r w:rsidR="00686D60">
        <w:rPr>
          <w:shd w:val="clear" w:color="auto" w:fill="FFFFFF"/>
        </w:rPr>
        <w:t xml:space="preserve"> системи</w:t>
      </w:r>
      <w:r>
        <w:rPr>
          <w:shd w:val="clear" w:color="auto" w:fill="FFFFFF"/>
        </w:rPr>
        <w:t xml:space="preserve"> фінансування та надання послуг в охороні здоров’я</w:t>
      </w:r>
    </w:p>
    <w:p w14:paraId="0FF2511E" w14:textId="3AA85DA3" w:rsidR="004B16BF" w:rsidRDefault="004B16BF" w:rsidP="00232908">
      <w:pPr>
        <w:spacing w:before="240"/>
        <w:jc w:val="both"/>
        <w:rPr>
          <w:color w:val="000000"/>
          <w:shd w:val="clear" w:color="auto" w:fill="FFFFFF"/>
        </w:rPr>
      </w:pPr>
      <w:r>
        <w:rPr>
          <w:color w:val="000000"/>
          <w:shd w:val="clear" w:color="auto" w:fill="FFFFFF"/>
        </w:rPr>
        <w:t>Філософією реформи</w:t>
      </w:r>
      <w:r w:rsidR="000019EB">
        <w:rPr>
          <w:color w:val="000000"/>
          <w:shd w:val="clear" w:color="auto" w:fill="FFFFFF"/>
        </w:rPr>
        <w:t xml:space="preserve"> в охороні здоров’я</w:t>
      </w:r>
      <w:r>
        <w:rPr>
          <w:color w:val="000000"/>
          <w:shd w:val="clear" w:color="auto" w:fill="FFFFFF"/>
        </w:rPr>
        <w:t xml:space="preserve"> є створення більш чесної</w:t>
      </w:r>
      <w:r w:rsidR="000019EB">
        <w:rPr>
          <w:color w:val="000000"/>
          <w:shd w:val="clear" w:color="auto" w:fill="FFFFFF"/>
        </w:rPr>
        <w:t xml:space="preserve"> та ефективної її</w:t>
      </w:r>
      <w:r>
        <w:rPr>
          <w:color w:val="000000"/>
          <w:shd w:val="clear" w:color="auto" w:fill="FFFFFF"/>
        </w:rPr>
        <w:t xml:space="preserve"> системи. </w:t>
      </w:r>
      <w:r w:rsidR="00CB3BBA">
        <w:rPr>
          <w:color w:val="000000"/>
          <w:shd w:val="clear" w:color="auto" w:fill="FFFFFF"/>
        </w:rPr>
        <w:t>Сьогодні в Україні держава здатна</w:t>
      </w:r>
      <w:r w:rsidR="000A495B">
        <w:rPr>
          <w:color w:val="000000"/>
          <w:shd w:val="clear" w:color="auto" w:fill="FFFFFF"/>
        </w:rPr>
        <w:t xml:space="preserve"> відносно ефективно</w:t>
      </w:r>
      <w:r w:rsidR="00CB3BBA">
        <w:rPr>
          <w:color w:val="000000"/>
          <w:shd w:val="clear" w:color="auto" w:fill="FFFFFF"/>
        </w:rPr>
        <w:t xml:space="preserve"> збирати на охорону здоров’я лише близько 4% від ВВП</w:t>
      </w:r>
      <w:r w:rsidR="000019EB">
        <w:rPr>
          <w:rStyle w:val="a6"/>
          <w:color w:val="000000"/>
          <w:shd w:val="clear" w:color="auto" w:fill="FFFFFF"/>
        </w:rPr>
        <w:footnoteReference w:id="6"/>
      </w:r>
      <w:r w:rsidR="000A495B">
        <w:rPr>
          <w:color w:val="000000"/>
          <w:shd w:val="clear" w:color="auto" w:fill="FFFFFF"/>
        </w:rPr>
        <w:t xml:space="preserve">. Все для того, щоб потім неефективно витратити їх через а) розпорошення між сотнями розпорядників на чотирьох рівнях – національному, обласному, міському та районному та б) кошторисний метод фінансування, який покладає на розпорядників (національний, обласні, міські та районні органи влади) обов’язок утримувати наявну у них медичну інфраструктуру та надавати населенню весь обсяг допомоги безоплатно. Це </w:t>
      </w:r>
      <w:r w:rsidR="000A495B">
        <w:rPr>
          <w:color w:val="000000"/>
          <w:shd w:val="clear" w:color="auto" w:fill="FFFFFF"/>
        </w:rPr>
        <w:lastRenderedPageBreak/>
        <w:t xml:space="preserve">призводить до того, що додаткові 3,8% від ВВП громадяни сплачують зі своїх кишень за те, що їм дійсно потрібно – медичні послуги. Оплата послуг, таким чином, знаходиться в Україні поза будь-якою системою об’єднання коштів, що робить українців одною з найбільш фінансово незахищених в сфері охорони здоров’я націй Європи. </w:t>
      </w:r>
    </w:p>
    <w:p w14:paraId="5E1EB268" w14:textId="6DE59F80" w:rsidR="00B37812" w:rsidRDefault="00111AC8" w:rsidP="00823A3D">
      <w:pPr>
        <w:jc w:val="both"/>
        <w:rPr>
          <w:color w:val="000000"/>
          <w:shd w:val="clear" w:color="auto" w:fill="FFFFFF"/>
        </w:rPr>
      </w:pPr>
      <w:r>
        <w:rPr>
          <w:color w:val="000000"/>
          <w:shd w:val="clear" w:color="auto" w:fill="FFFFFF"/>
        </w:rPr>
        <w:t xml:space="preserve">Зміна конфігурації у рівнях витрачання коштів (створення замість районного – </w:t>
      </w:r>
      <w:r w:rsidR="000019EB">
        <w:rPr>
          <w:color w:val="000000"/>
          <w:shd w:val="clear" w:color="auto" w:fill="FFFFFF"/>
        </w:rPr>
        <w:t>«</w:t>
      </w:r>
      <w:r>
        <w:rPr>
          <w:color w:val="000000"/>
          <w:shd w:val="clear" w:color="auto" w:fill="FFFFFF"/>
        </w:rPr>
        <w:t>повітового</w:t>
      </w:r>
      <w:r w:rsidR="000019EB">
        <w:rPr>
          <w:color w:val="000000"/>
          <w:shd w:val="clear" w:color="auto" w:fill="FFFFFF"/>
        </w:rPr>
        <w:t>»</w:t>
      </w:r>
      <w:r>
        <w:rPr>
          <w:color w:val="000000"/>
          <w:shd w:val="clear" w:color="auto" w:fill="FFFFFF"/>
        </w:rPr>
        <w:t xml:space="preserve"> та рівня громад)  чи перерозподіл відповідальності між ними (розмежування рівнів допомоги</w:t>
      </w:r>
      <w:r w:rsidR="006154BB">
        <w:rPr>
          <w:color w:val="000000"/>
          <w:shd w:val="clear" w:color="auto" w:fill="FFFFFF"/>
        </w:rPr>
        <w:t xml:space="preserve"> та передача кожного у відповідальність одного рівня</w:t>
      </w:r>
      <w:r>
        <w:rPr>
          <w:color w:val="000000"/>
          <w:shd w:val="clear" w:color="auto" w:fill="FFFFFF"/>
        </w:rPr>
        <w:t xml:space="preserve">) за найбільш оптимістичного сценарію призведуть лише до </w:t>
      </w:r>
      <w:proofErr w:type="spellStart"/>
      <w:r>
        <w:rPr>
          <w:color w:val="000000"/>
          <w:shd w:val="clear" w:color="auto" w:fill="FFFFFF"/>
        </w:rPr>
        <w:t>інкрементального</w:t>
      </w:r>
      <w:proofErr w:type="spellEnd"/>
      <w:r>
        <w:rPr>
          <w:color w:val="000000"/>
          <w:shd w:val="clear" w:color="auto" w:fill="FFFFFF"/>
        </w:rPr>
        <w:t xml:space="preserve"> покращення</w:t>
      </w:r>
      <w:r w:rsidR="00926957">
        <w:rPr>
          <w:color w:val="000000"/>
          <w:shd w:val="clear" w:color="auto" w:fill="FFFFFF"/>
        </w:rPr>
        <w:t xml:space="preserve"> (що продемонстрував експеримент в пілотних областях в 2011-2014 роках)</w:t>
      </w:r>
      <w:r>
        <w:rPr>
          <w:color w:val="000000"/>
          <w:shd w:val="clear" w:color="auto" w:fill="FFFFFF"/>
        </w:rPr>
        <w:t xml:space="preserve">, а в реальності – скоріше законсервують існуючі проблеми.   </w:t>
      </w:r>
    </w:p>
    <w:p w14:paraId="5AAF16B2" w14:textId="30C58BC1" w:rsidR="002A7186" w:rsidRPr="00ED6AA7" w:rsidRDefault="007A6ACA" w:rsidP="002A7186">
      <w:pPr>
        <w:pStyle w:val="a3"/>
        <w:keepNext/>
        <w:jc w:val="both"/>
        <w:rPr>
          <w:color w:val="auto"/>
          <w:sz w:val="20"/>
        </w:rPr>
      </w:pPr>
      <w:r>
        <w:rPr>
          <w:color w:val="auto"/>
          <w:sz w:val="20"/>
        </w:rPr>
        <w:fldChar w:fldCharType="begin"/>
      </w:r>
      <w:r>
        <w:rPr>
          <w:color w:val="auto"/>
          <w:sz w:val="20"/>
        </w:rPr>
        <w:instrText xml:space="preserve"> SEQ Рисунок \* ARABIC </w:instrText>
      </w:r>
      <w:r>
        <w:rPr>
          <w:color w:val="auto"/>
          <w:sz w:val="20"/>
        </w:rPr>
        <w:fldChar w:fldCharType="separate"/>
      </w:r>
      <w:r>
        <w:rPr>
          <w:noProof/>
          <w:color w:val="auto"/>
          <w:sz w:val="20"/>
        </w:rPr>
        <w:t>2</w:t>
      </w:r>
      <w:r>
        <w:rPr>
          <w:color w:val="auto"/>
          <w:sz w:val="20"/>
        </w:rPr>
        <w:fldChar w:fldCharType="end"/>
      </w:r>
      <w:r w:rsidR="002A7186" w:rsidRPr="00ED6AA7">
        <w:rPr>
          <w:color w:val="auto"/>
          <w:sz w:val="20"/>
        </w:rPr>
        <w:t>. Діюча системи фінансування в системі охорони здоров’я</w:t>
      </w:r>
    </w:p>
    <w:p w14:paraId="0A069F7B" w14:textId="77777777" w:rsidR="002A7186" w:rsidRDefault="002A7186" w:rsidP="00823A3D">
      <w:pPr>
        <w:jc w:val="both"/>
      </w:pPr>
      <w:r>
        <w:rPr>
          <w:noProof/>
          <w:color w:val="000000"/>
          <w:shd w:val="clear" w:color="auto" w:fill="FFFFFF"/>
          <w:lang w:eastAsia="uk-UA"/>
        </w:rPr>
        <w:drawing>
          <wp:inline distT="0" distB="0" distL="0" distR="0" wp14:anchorId="1E50EBEB" wp14:editId="21774EDF">
            <wp:extent cx="5419725" cy="2962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лайд5.PNG"/>
                    <pic:cNvPicPr/>
                  </pic:nvPicPr>
                  <pic:blipFill rotWithShape="1">
                    <a:blip r:embed="rId9">
                      <a:extLst>
                        <a:ext uri="{28A0092B-C50C-407E-A947-70E740481C1C}">
                          <a14:useLocalDpi xmlns:a14="http://schemas.microsoft.com/office/drawing/2010/main" val="0"/>
                        </a:ext>
                      </a:extLst>
                    </a:blip>
                    <a:srcRect l="934" t="1383" r="10520" b="12578"/>
                    <a:stretch/>
                  </pic:blipFill>
                  <pic:spPr bwMode="auto">
                    <a:xfrm>
                      <a:off x="0" y="0"/>
                      <a:ext cx="5419725" cy="2962275"/>
                    </a:xfrm>
                    <a:prstGeom prst="rect">
                      <a:avLst/>
                    </a:prstGeom>
                    <a:ln>
                      <a:noFill/>
                    </a:ln>
                    <a:extLst>
                      <a:ext uri="{53640926-AAD7-44D8-BBD7-CCE9431645EC}">
                        <a14:shadowObscured xmlns:a14="http://schemas.microsoft.com/office/drawing/2010/main"/>
                      </a:ext>
                    </a:extLst>
                  </pic:spPr>
                </pic:pic>
              </a:graphicData>
            </a:graphic>
          </wp:inline>
        </w:drawing>
      </w:r>
    </w:p>
    <w:p w14:paraId="3B20EBFA" w14:textId="51FAA014" w:rsidR="002A7186" w:rsidRPr="00ED6AA7" w:rsidRDefault="007A6ACA" w:rsidP="002A7186">
      <w:pPr>
        <w:pStyle w:val="a3"/>
        <w:keepNext/>
        <w:jc w:val="both"/>
        <w:rPr>
          <w:color w:val="auto"/>
          <w:sz w:val="20"/>
        </w:rPr>
      </w:pPr>
      <w:r>
        <w:rPr>
          <w:color w:val="auto"/>
          <w:sz w:val="20"/>
        </w:rPr>
        <w:fldChar w:fldCharType="begin"/>
      </w:r>
      <w:r>
        <w:rPr>
          <w:color w:val="auto"/>
          <w:sz w:val="20"/>
        </w:rPr>
        <w:instrText xml:space="preserve"> SEQ Рисунок \* ARABIC </w:instrText>
      </w:r>
      <w:r>
        <w:rPr>
          <w:color w:val="auto"/>
          <w:sz w:val="20"/>
        </w:rPr>
        <w:fldChar w:fldCharType="separate"/>
      </w:r>
      <w:r>
        <w:rPr>
          <w:noProof/>
          <w:color w:val="auto"/>
          <w:sz w:val="20"/>
        </w:rPr>
        <w:t>3</w:t>
      </w:r>
      <w:r>
        <w:rPr>
          <w:color w:val="auto"/>
          <w:sz w:val="20"/>
        </w:rPr>
        <w:fldChar w:fldCharType="end"/>
      </w:r>
      <w:r w:rsidR="002A7186" w:rsidRPr="00ED6AA7">
        <w:rPr>
          <w:color w:val="auto"/>
          <w:sz w:val="20"/>
        </w:rPr>
        <w:t>. Система фінансування після реформи децентралізації</w:t>
      </w:r>
    </w:p>
    <w:p w14:paraId="7909BBCB" w14:textId="77777777" w:rsidR="002A7186" w:rsidRPr="00132106" w:rsidRDefault="002A7186" w:rsidP="00823A3D">
      <w:pPr>
        <w:jc w:val="both"/>
        <w:rPr>
          <w:color w:val="000000"/>
          <w:shd w:val="clear" w:color="auto" w:fill="FFFFFF"/>
        </w:rPr>
      </w:pPr>
      <w:r>
        <w:rPr>
          <w:noProof/>
          <w:color w:val="000000"/>
          <w:shd w:val="clear" w:color="auto" w:fill="FFFFFF"/>
          <w:lang w:eastAsia="uk-UA"/>
        </w:rPr>
        <w:drawing>
          <wp:inline distT="0" distB="0" distL="0" distR="0" wp14:anchorId="791972D6" wp14:editId="605773ED">
            <wp:extent cx="5486400" cy="2838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лайд6.PNG"/>
                    <pic:cNvPicPr/>
                  </pic:nvPicPr>
                  <pic:blipFill rotWithShape="1">
                    <a:blip r:embed="rId10">
                      <a:extLst>
                        <a:ext uri="{28A0092B-C50C-407E-A947-70E740481C1C}">
                          <a14:useLocalDpi xmlns:a14="http://schemas.microsoft.com/office/drawing/2010/main" val="0"/>
                        </a:ext>
                      </a:extLst>
                    </a:blip>
                    <a:srcRect l="623" t="2213" r="9742" b="15345"/>
                    <a:stretch/>
                  </pic:blipFill>
                  <pic:spPr bwMode="auto">
                    <a:xfrm>
                      <a:off x="0" y="0"/>
                      <a:ext cx="5486400" cy="2838450"/>
                    </a:xfrm>
                    <a:prstGeom prst="rect">
                      <a:avLst/>
                    </a:prstGeom>
                    <a:ln>
                      <a:noFill/>
                    </a:ln>
                    <a:extLst>
                      <a:ext uri="{53640926-AAD7-44D8-BBD7-CCE9431645EC}">
                        <a14:shadowObscured xmlns:a14="http://schemas.microsoft.com/office/drawing/2010/main"/>
                      </a:ext>
                    </a:extLst>
                  </pic:spPr>
                </pic:pic>
              </a:graphicData>
            </a:graphic>
          </wp:inline>
        </w:drawing>
      </w:r>
    </w:p>
    <w:p w14:paraId="0576631F" w14:textId="2E299D4E" w:rsidR="001C723A" w:rsidRDefault="001C723A" w:rsidP="00DA62AB">
      <w:pPr>
        <w:jc w:val="both"/>
        <w:rPr>
          <w:color w:val="000000"/>
          <w:shd w:val="clear" w:color="auto" w:fill="FFFFFF"/>
        </w:rPr>
      </w:pPr>
      <w:r>
        <w:rPr>
          <w:color w:val="000000"/>
          <w:shd w:val="clear" w:color="auto" w:fill="FFFFFF"/>
        </w:rPr>
        <w:t>Рішенням проблеми є радикальна модернізація системи фінансування охорони здоров’я, яку пройшли більшість пострадянських країн</w:t>
      </w:r>
      <w:r w:rsidR="00B00194">
        <w:rPr>
          <w:rStyle w:val="a6"/>
          <w:color w:val="000000"/>
          <w:shd w:val="clear" w:color="auto" w:fill="FFFFFF"/>
        </w:rPr>
        <w:footnoteReference w:id="7"/>
      </w:r>
      <w:r>
        <w:rPr>
          <w:color w:val="000000"/>
          <w:shd w:val="clear" w:color="auto" w:fill="FFFFFF"/>
        </w:rPr>
        <w:t>. Вона передбачає три компоненти:</w:t>
      </w:r>
    </w:p>
    <w:p w14:paraId="29C53FDB" w14:textId="77777777" w:rsidR="001C723A" w:rsidRDefault="001C723A" w:rsidP="00DA62AB">
      <w:pPr>
        <w:jc w:val="both"/>
        <w:rPr>
          <w:color w:val="000000"/>
          <w:shd w:val="clear" w:color="auto" w:fill="FFFFFF"/>
        </w:rPr>
      </w:pPr>
      <w:r>
        <w:rPr>
          <w:color w:val="000000"/>
          <w:shd w:val="clear" w:color="auto" w:fill="FFFFFF"/>
        </w:rPr>
        <w:lastRenderedPageBreak/>
        <w:t xml:space="preserve">а) </w:t>
      </w:r>
      <w:r w:rsidR="00DA62AB">
        <w:rPr>
          <w:color w:val="000000"/>
          <w:shd w:val="clear" w:color="auto" w:fill="FFFFFF"/>
        </w:rPr>
        <w:t>Р</w:t>
      </w:r>
      <w:r>
        <w:rPr>
          <w:color w:val="000000"/>
          <w:shd w:val="clear" w:color="auto" w:fill="FFFFFF"/>
        </w:rPr>
        <w:t>озмежування замовника та постачальника послуг – орган влади, який володіє закладом, не може фінансувати його, створюючи конфлікт інтересів; заклади</w:t>
      </w:r>
      <w:r w:rsidR="00203CA4">
        <w:rPr>
          <w:color w:val="000000"/>
          <w:shd w:val="clear" w:color="auto" w:fill="FFFFFF"/>
        </w:rPr>
        <w:t xml:space="preserve"> припиняють перебувати «на балансі» у органів влади,</w:t>
      </w:r>
      <w:r>
        <w:rPr>
          <w:color w:val="000000"/>
          <w:shd w:val="clear" w:color="auto" w:fill="FFFFFF"/>
        </w:rPr>
        <w:t xml:space="preserve"> стають автономними, і відповідальність за їх утримання</w:t>
      </w:r>
      <w:r w:rsidR="00DA62AB">
        <w:rPr>
          <w:color w:val="000000"/>
          <w:shd w:val="clear" w:color="auto" w:fill="FFFFFF"/>
        </w:rPr>
        <w:t xml:space="preserve"> покладається на їх керівництво.</w:t>
      </w:r>
      <w:r>
        <w:rPr>
          <w:color w:val="000000"/>
          <w:shd w:val="clear" w:color="auto" w:fill="FFFFFF"/>
        </w:rPr>
        <w:t xml:space="preserve"> </w:t>
      </w:r>
    </w:p>
    <w:p w14:paraId="0F2F72C1" w14:textId="77777777" w:rsidR="001C723A" w:rsidRDefault="001C723A" w:rsidP="00DA62AB">
      <w:pPr>
        <w:jc w:val="both"/>
        <w:rPr>
          <w:color w:val="000000"/>
          <w:shd w:val="clear" w:color="auto" w:fill="FFFFFF"/>
        </w:rPr>
      </w:pPr>
      <w:r>
        <w:rPr>
          <w:color w:val="000000"/>
          <w:shd w:val="clear" w:color="auto" w:fill="FFFFFF"/>
        </w:rPr>
        <w:t xml:space="preserve">б) </w:t>
      </w:r>
      <w:r w:rsidR="00DA62AB">
        <w:rPr>
          <w:color w:val="000000"/>
          <w:shd w:val="clear" w:color="auto" w:fill="FFFFFF"/>
        </w:rPr>
        <w:t>П</w:t>
      </w:r>
      <w:r>
        <w:rPr>
          <w:color w:val="000000"/>
          <w:shd w:val="clear" w:color="auto" w:fill="FFFFFF"/>
        </w:rPr>
        <w:t xml:space="preserve">ерехід від </w:t>
      </w:r>
      <w:r w:rsidR="00DA62AB">
        <w:rPr>
          <w:color w:val="000000"/>
          <w:shd w:val="clear" w:color="auto" w:fill="FFFFFF"/>
        </w:rPr>
        <w:t xml:space="preserve">фінансування потужностей до фінансування результатів. На практиці це означає перехід від кошторисного утримання закладу органом влади до </w:t>
      </w:r>
      <w:proofErr w:type="spellStart"/>
      <w:r w:rsidR="00DA62AB">
        <w:rPr>
          <w:color w:val="000000"/>
          <w:shd w:val="clear" w:color="auto" w:fill="FFFFFF"/>
        </w:rPr>
        <w:t>контрактування</w:t>
      </w:r>
      <w:proofErr w:type="spellEnd"/>
      <w:r w:rsidR="00DA62AB">
        <w:rPr>
          <w:color w:val="000000"/>
          <w:shd w:val="clear" w:color="auto" w:fill="FFFFFF"/>
        </w:rPr>
        <w:t xml:space="preserve"> закладу замовником послуг (який не є власником закладу).</w:t>
      </w:r>
      <w:r>
        <w:rPr>
          <w:color w:val="000000"/>
          <w:shd w:val="clear" w:color="auto" w:fill="FFFFFF"/>
        </w:rPr>
        <w:t xml:space="preserve"> </w:t>
      </w:r>
    </w:p>
    <w:p w14:paraId="2A520073" w14:textId="77777777" w:rsidR="00C10574" w:rsidRDefault="001C723A" w:rsidP="00DA62AB">
      <w:pPr>
        <w:jc w:val="both"/>
        <w:rPr>
          <w:color w:val="000000"/>
          <w:shd w:val="clear" w:color="auto" w:fill="FFFFFF"/>
        </w:rPr>
      </w:pPr>
      <w:r>
        <w:rPr>
          <w:color w:val="000000"/>
          <w:shd w:val="clear" w:color="auto" w:fill="FFFFFF"/>
        </w:rPr>
        <w:t xml:space="preserve">в) </w:t>
      </w:r>
      <w:r w:rsidR="00DA62AB">
        <w:rPr>
          <w:color w:val="000000"/>
          <w:shd w:val="clear" w:color="auto" w:fill="FFFFFF"/>
        </w:rPr>
        <w:t>С</w:t>
      </w:r>
      <w:r>
        <w:rPr>
          <w:color w:val="000000"/>
          <w:shd w:val="clear" w:color="auto" w:fill="FFFFFF"/>
        </w:rPr>
        <w:t>творення системи «єдиного платника»</w:t>
      </w:r>
      <w:r w:rsidR="00DA62AB">
        <w:rPr>
          <w:color w:val="000000"/>
          <w:shd w:val="clear" w:color="auto" w:fill="FFFFFF"/>
        </w:rPr>
        <w:t xml:space="preserve">, яка полягає у мінімізації кількості замовників послуг та рівнів їх розташування. Практичним рішенням в Україні може стати створення єдиної Національної агенції з фінансування охорони здоров’я, яка буде мати відділення в регіонах.    </w:t>
      </w:r>
    </w:p>
    <w:p w14:paraId="26E8074F" w14:textId="3F3CEF93" w:rsidR="00C10574" w:rsidRPr="00ED6AA7" w:rsidRDefault="007A6ACA" w:rsidP="00C10574">
      <w:pPr>
        <w:pStyle w:val="a3"/>
        <w:keepNext/>
        <w:jc w:val="both"/>
        <w:rPr>
          <w:color w:val="auto"/>
          <w:sz w:val="20"/>
        </w:rPr>
      </w:pPr>
      <w:r>
        <w:rPr>
          <w:color w:val="auto"/>
          <w:sz w:val="20"/>
        </w:rPr>
        <w:fldChar w:fldCharType="begin"/>
      </w:r>
      <w:r>
        <w:rPr>
          <w:color w:val="auto"/>
          <w:sz w:val="20"/>
        </w:rPr>
        <w:instrText xml:space="preserve"> SEQ Рисунок \* ARABIC </w:instrText>
      </w:r>
      <w:r>
        <w:rPr>
          <w:color w:val="auto"/>
          <w:sz w:val="20"/>
        </w:rPr>
        <w:fldChar w:fldCharType="separate"/>
      </w:r>
      <w:r>
        <w:rPr>
          <w:noProof/>
          <w:color w:val="auto"/>
          <w:sz w:val="20"/>
        </w:rPr>
        <w:t>4</w:t>
      </w:r>
      <w:r>
        <w:rPr>
          <w:color w:val="auto"/>
          <w:sz w:val="20"/>
        </w:rPr>
        <w:fldChar w:fldCharType="end"/>
      </w:r>
      <w:r w:rsidR="00C10574" w:rsidRPr="00ED6AA7">
        <w:rPr>
          <w:color w:val="auto"/>
          <w:sz w:val="20"/>
        </w:rPr>
        <w:t xml:space="preserve">. Пропонована система фінансування охорони </w:t>
      </w:r>
      <w:proofErr w:type="spellStart"/>
      <w:r w:rsidR="00C10574" w:rsidRPr="00ED6AA7">
        <w:rPr>
          <w:color w:val="auto"/>
          <w:sz w:val="20"/>
        </w:rPr>
        <w:t>здоров</w:t>
      </w:r>
      <w:proofErr w:type="spellEnd"/>
      <w:r w:rsidR="00C10574" w:rsidRPr="00ED6AA7">
        <w:rPr>
          <w:color w:val="auto"/>
          <w:sz w:val="20"/>
          <w:lang w:val="ru-RU"/>
        </w:rPr>
        <w:t>'</w:t>
      </w:r>
      <w:r w:rsidR="00C10574" w:rsidRPr="00ED6AA7">
        <w:rPr>
          <w:color w:val="auto"/>
          <w:sz w:val="20"/>
        </w:rPr>
        <w:t>я (на 2020 рік)</w:t>
      </w:r>
      <w:r w:rsidR="00AC4AF8">
        <w:rPr>
          <w:color w:val="auto"/>
          <w:sz w:val="20"/>
        </w:rPr>
        <w:t>.</w:t>
      </w:r>
    </w:p>
    <w:p w14:paraId="2E6D18C6" w14:textId="77777777" w:rsidR="00DA62AB" w:rsidRDefault="00C10574" w:rsidP="00DA62AB">
      <w:pPr>
        <w:jc w:val="both"/>
        <w:rPr>
          <w:color w:val="000000"/>
          <w:shd w:val="clear" w:color="auto" w:fill="FFFFFF"/>
        </w:rPr>
      </w:pPr>
      <w:r>
        <w:rPr>
          <w:noProof/>
          <w:color w:val="000000"/>
          <w:shd w:val="clear" w:color="auto" w:fill="FFFFFF"/>
          <w:lang w:eastAsia="uk-UA"/>
        </w:rPr>
        <w:drawing>
          <wp:inline distT="0" distB="0" distL="0" distR="0" wp14:anchorId="1607326D" wp14:editId="2D264595">
            <wp:extent cx="5248275" cy="26193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лайд7.PNG"/>
                    <pic:cNvPicPr/>
                  </pic:nvPicPr>
                  <pic:blipFill rotWithShape="1">
                    <a:blip r:embed="rId11">
                      <a:extLst>
                        <a:ext uri="{28A0092B-C50C-407E-A947-70E740481C1C}">
                          <a14:useLocalDpi xmlns:a14="http://schemas.microsoft.com/office/drawing/2010/main" val="0"/>
                        </a:ext>
                      </a:extLst>
                    </a:blip>
                    <a:srcRect l="357" t="2222" r="1250" b="10476"/>
                    <a:stretch/>
                  </pic:blipFill>
                  <pic:spPr bwMode="auto">
                    <a:xfrm>
                      <a:off x="0" y="0"/>
                      <a:ext cx="5248275" cy="2619375"/>
                    </a:xfrm>
                    <a:prstGeom prst="rect">
                      <a:avLst/>
                    </a:prstGeom>
                    <a:ln>
                      <a:noFill/>
                    </a:ln>
                    <a:extLst>
                      <a:ext uri="{53640926-AAD7-44D8-BBD7-CCE9431645EC}">
                        <a14:shadowObscured xmlns:a14="http://schemas.microsoft.com/office/drawing/2010/main"/>
                      </a:ext>
                    </a:extLst>
                  </pic:spPr>
                </pic:pic>
              </a:graphicData>
            </a:graphic>
          </wp:inline>
        </w:drawing>
      </w:r>
      <w:r w:rsidR="00DA62AB">
        <w:rPr>
          <w:color w:val="000000"/>
          <w:shd w:val="clear" w:color="auto" w:fill="FFFFFF"/>
        </w:rPr>
        <w:t xml:space="preserve"> </w:t>
      </w:r>
    </w:p>
    <w:p w14:paraId="2A5C2AD0" w14:textId="77777777" w:rsidR="00CB3BBA" w:rsidRDefault="00527B17" w:rsidP="00DA62AB">
      <w:pPr>
        <w:jc w:val="both"/>
        <w:rPr>
          <w:color w:val="000000"/>
          <w:shd w:val="clear" w:color="auto" w:fill="FFFFFF"/>
        </w:rPr>
      </w:pPr>
      <w:r>
        <w:rPr>
          <w:color w:val="000000"/>
          <w:shd w:val="clear" w:color="auto" w:fill="FFFFFF"/>
        </w:rPr>
        <w:t>З трьох названих складових реформи фінансування найбільш важливим для реформи децентралізації є рішення щодо</w:t>
      </w:r>
      <w:r w:rsidR="004B16BF">
        <w:rPr>
          <w:color w:val="000000"/>
          <w:shd w:val="clear" w:color="auto" w:fill="FFFFFF"/>
        </w:rPr>
        <w:t xml:space="preserve"> </w:t>
      </w:r>
      <w:r>
        <w:rPr>
          <w:color w:val="000000"/>
          <w:shd w:val="clear" w:color="auto" w:fill="FFFFFF"/>
        </w:rPr>
        <w:t xml:space="preserve">створення системи «єдиного платника» - </w:t>
      </w:r>
      <w:r w:rsidR="004B16BF">
        <w:rPr>
          <w:color w:val="000000"/>
          <w:shd w:val="clear" w:color="auto" w:fill="FFFFFF"/>
        </w:rPr>
        <w:t>національн</w:t>
      </w:r>
      <w:r>
        <w:rPr>
          <w:color w:val="000000"/>
          <w:shd w:val="clear" w:color="auto" w:fill="FFFFFF"/>
        </w:rPr>
        <w:t>ого</w:t>
      </w:r>
      <w:r w:rsidR="004B16BF">
        <w:rPr>
          <w:color w:val="000000"/>
          <w:shd w:val="clear" w:color="auto" w:fill="FFFFFF"/>
        </w:rPr>
        <w:t xml:space="preserve"> пул</w:t>
      </w:r>
      <w:r>
        <w:rPr>
          <w:color w:val="000000"/>
          <w:shd w:val="clear" w:color="auto" w:fill="FFFFFF"/>
        </w:rPr>
        <w:t>у</w:t>
      </w:r>
      <w:r w:rsidR="004B16BF">
        <w:rPr>
          <w:color w:val="000000"/>
          <w:shd w:val="clear" w:color="auto" w:fill="FFFFFF"/>
        </w:rPr>
        <w:t xml:space="preserve"> публічних коштів. </w:t>
      </w:r>
      <w:r w:rsidR="007F7C99">
        <w:rPr>
          <w:color w:val="000000"/>
          <w:shd w:val="clear" w:color="auto" w:fill="FFFFFF"/>
        </w:rPr>
        <w:t xml:space="preserve">Існує три мотиви для запровадження такої системи: </w:t>
      </w:r>
      <w:r w:rsidR="004111EA">
        <w:rPr>
          <w:color w:val="000000"/>
          <w:shd w:val="clear" w:color="auto" w:fill="FFFFFF"/>
        </w:rPr>
        <w:t>а)</w:t>
      </w:r>
      <w:r w:rsidR="007F7C99">
        <w:rPr>
          <w:color w:val="000000"/>
          <w:shd w:val="clear" w:color="auto" w:fill="FFFFFF"/>
        </w:rPr>
        <w:t xml:space="preserve"> забезпечення</w:t>
      </w:r>
      <w:r w:rsidR="004111EA">
        <w:rPr>
          <w:color w:val="000000"/>
          <w:shd w:val="clear" w:color="auto" w:fill="FFFFFF"/>
        </w:rPr>
        <w:t xml:space="preserve"> сильн</w:t>
      </w:r>
      <w:r w:rsidR="007F7C99">
        <w:rPr>
          <w:color w:val="000000"/>
          <w:shd w:val="clear" w:color="auto" w:fill="FFFFFF"/>
        </w:rPr>
        <w:t>ої</w:t>
      </w:r>
      <w:r w:rsidR="004111EA">
        <w:rPr>
          <w:color w:val="000000"/>
          <w:shd w:val="clear" w:color="auto" w:fill="FFFFFF"/>
        </w:rPr>
        <w:t xml:space="preserve"> закупівельн</w:t>
      </w:r>
      <w:r w:rsidR="007F7C99">
        <w:rPr>
          <w:color w:val="000000"/>
          <w:shd w:val="clear" w:color="auto" w:fill="FFFFFF"/>
        </w:rPr>
        <w:t>ої</w:t>
      </w:r>
      <w:r w:rsidR="004111EA">
        <w:rPr>
          <w:color w:val="000000"/>
          <w:shd w:val="clear" w:color="auto" w:fill="FFFFFF"/>
        </w:rPr>
        <w:t xml:space="preserve"> функці</w:t>
      </w:r>
      <w:r w:rsidR="007F7C99">
        <w:rPr>
          <w:color w:val="000000"/>
          <w:shd w:val="clear" w:color="auto" w:fill="FFFFFF"/>
        </w:rPr>
        <w:t>ї</w:t>
      </w:r>
      <w:r w:rsidR="004111EA">
        <w:rPr>
          <w:color w:val="000000"/>
          <w:shd w:val="clear" w:color="auto" w:fill="FFFFFF"/>
        </w:rPr>
        <w:t>, коли замовник послуг може провадити</w:t>
      </w:r>
      <w:r w:rsidR="00CB3BBA">
        <w:rPr>
          <w:color w:val="000000"/>
          <w:shd w:val="clear" w:color="auto" w:fill="FFFFFF"/>
        </w:rPr>
        <w:t xml:space="preserve"> активні стратегічні закупівлі комплексно та у</w:t>
      </w:r>
      <w:r w:rsidR="004111EA">
        <w:rPr>
          <w:color w:val="000000"/>
          <w:shd w:val="clear" w:color="auto" w:fill="FFFFFF"/>
        </w:rPr>
        <w:t xml:space="preserve"> великих о</w:t>
      </w:r>
      <w:r w:rsidR="00CB3BBA">
        <w:rPr>
          <w:color w:val="000000"/>
          <w:shd w:val="clear" w:color="auto" w:fill="FFFFFF"/>
        </w:rPr>
        <w:t>бсягах,</w:t>
      </w:r>
      <w:r w:rsidR="004B16BF">
        <w:rPr>
          <w:color w:val="000000"/>
          <w:shd w:val="clear" w:color="auto" w:fill="FFFFFF"/>
        </w:rPr>
        <w:t xml:space="preserve"> </w:t>
      </w:r>
      <w:r w:rsidR="00CB3BBA">
        <w:rPr>
          <w:color w:val="000000"/>
          <w:shd w:val="clear" w:color="auto" w:fill="FFFFFF"/>
        </w:rPr>
        <w:t xml:space="preserve">б) </w:t>
      </w:r>
      <w:r w:rsidR="005C28EA">
        <w:rPr>
          <w:color w:val="000000"/>
          <w:shd w:val="clear" w:color="auto" w:fill="FFFFFF"/>
        </w:rPr>
        <w:t xml:space="preserve">досягнення </w:t>
      </w:r>
      <w:r w:rsidR="004B16BF">
        <w:rPr>
          <w:color w:val="000000"/>
          <w:shd w:val="clear" w:color="auto" w:fill="FFFFFF"/>
        </w:rPr>
        <w:t>ефективн</w:t>
      </w:r>
      <w:r w:rsidR="005C28EA">
        <w:rPr>
          <w:color w:val="000000"/>
          <w:shd w:val="clear" w:color="auto" w:fill="FFFFFF"/>
        </w:rPr>
        <w:t>о</w:t>
      </w:r>
      <w:r w:rsidR="004B16BF">
        <w:rPr>
          <w:color w:val="000000"/>
          <w:shd w:val="clear" w:color="auto" w:fill="FFFFFF"/>
        </w:rPr>
        <w:t>ст</w:t>
      </w:r>
      <w:r w:rsidR="005C28EA">
        <w:rPr>
          <w:color w:val="000000"/>
          <w:shd w:val="clear" w:color="auto" w:fill="FFFFFF"/>
        </w:rPr>
        <w:t>і у витрачанні публічних коштів</w:t>
      </w:r>
      <w:r w:rsidR="004B16BF">
        <w:rPr>
          <w:color w:val="000000"/>
          <w:shd w:val="clear" w:color="auto" w:fill="FFFFFF"/>
        </w:rPr>
        <w:t xml:space="preserve"> через</w:t>
      </w:r>
      <w:r w:rsidR="005C28EA">
        <w:rPr>
          <w:color w:val="000000"/>
          <w:shd w:val="clear" w:color="auto" w:fill="FFFFFF"/>
        </w:rPr>
        <w:t xml:space="preserve"> прості процедури</w:t>
      </w:r>
      <w:r w:rsidR="004B16BF">
        <w:rPr>
          <w:color w:val="000000"/>
          <w:shd w:val="clear" w:color="auto" w:fill="FFFFFF"/>
        </w:rPr>
        <w:t xml:space="preserve"> контрол</w:t>
      </w:r>
      <w:r w:rsidR="005C28EA">
        <w:rPr>
          <w:color w:val="000000"/>
          <w:shd w:val="clear" w:color="auto" w:fill="FFFFFF"/>
        </w:rPr>
        <w:t>ю</w:t>
      </w:r>
      <w:r w:rsidR="00CB3BBA">
        <w:rPr>
          <w:color w:val="000000"/>
          <w:shd w:val="clear" w:color="auto" w:fill="FFFFFF"/>
        </w:rPr>
        <w:t xml:space="preserve"> </w:t>
      </w:r>
      <w:r w:rsidR="004B16BF">
        <w:rPr>
          <w:color w:val="000000"/>
          <w:shd w:val="clear" w:color="auto" w:fill="FFFFFF"/>
        </w:rPr>
        <w:t>та</w:t>
      </w:r>
      <w:r w:rsidR="005C28EA">
        <w:rPr>
          <w:color w:val="000000"/>
          <w:shd w:val="clear" w:color="auto" w:fill="FFFFFF"/>
        </w:rPr>
        <w:t xml:space="preserve"> конкуренцію –</w:t>
      </w:r>
      <w:r w:rsidR="004B16BF">
        <w:rPr>
          <w:color w:val="000000"/>
          <w:shd w:val="clear" w:color="auto" w:fill="FFFFFF"/>
        </w:rPr>
        <w:t xml:space="preserve"> </w:t>
      </w:r>
      <w:r w:rsidR="00CB3BBA">
        <w:rPr>
          <w:color w:val="000000"/>
          <w:shd w:val="clear" w:color="auto" w:fill="FFFFFF"/>
        </w:rPr>
        <w:t>можливість обирати між постачальниками та в)</w:t>
      </w:r>
      <w:r w:rsidR="004B16BF">
        <w:rPr>
          <w:color w:val="000000"/>
          <w:shd w:val="clear" w:color="auto" w:fill="FFFFFF"/>
        </w:rPr>
        <w:t xml:space="preserve"> </w:t>
      </w:r>
      <w:r w:rsidR="005C28EA">
        <w:rPr>
          <w:color w:val="000000"/>
          <w:shd w:val="clear" w:color="auto" w:fill="FFFFFF"/>
        </w:rPr>
        <w:t xml:space="preserve">забезпечення </w:t>
      </w:r>
      <w:r w:rsidR="004B16BF">
        <w:rPr>
          <w:color w:val="000000"/>
          <w:shd w:val="clear" w:color="auto" w:fill="FFFFFF"/>
        </w:rPr>
        <w:t>справедлив</w:t>
      </w:r>
      <w:r w:rsidR="005C28EA">
        <w:rPr>
          <w:color w:val="000000"/>
          <w:shd w:val="clear" w:color="auto" w:fill="FFFFFF"/>
        </w:rPr>
        <w:t>о</w:t>
      </w:r>
      <w:r w:rsidR="004B16BF">
        <w:rPr>
          <w:color w:val="000000"/>
          <w:shd w:val="clear" w:color="auto" w:fill="FFFFFF"/>
        </w:rPr>
        <w:t>ст</w:t>
      </w:r>
      <w:r w:rsidR="005C28EA">
        <w:rPr>
          <w:color w:val="000000"/>
          <w:shd w:val="clear" w:color="auto" w:fill="FFFFFF"/>
        </w:rPr>
        <w:t>і</w:t>
      </w:r>
      <w:r w:rsidR="004B16BF">
        <w:rPr>
          <w:color w:val="000000"/>
          <w:shd w:val="clear" w:color="auto" w:fill="FFFFFF"/>
        </w:rPr>
        <w:t xml:space="preserve"> через </w:t>
      </w:r>
      <w:r w:rsidR="00CB3BBA">
        <w:rPr>
          <w:color w:val="000000"/>
          <w:shd w:val="clear" w:color="auto" w:fill="FFFFFF"/>
        </w:rPr>
        <w:t>здатність</w:t>
      </w:r>
      <w:r w:rsidR="004B16BF">
        <w:rPr>
          <w:color w:val="000000"/>
          <w:shd w:val="clear" w:color="auto" w:fill="FFFFFF"/>
        </w:rPr>
        <w:t xml:space="preserve"> гарантувати </w:t>
      </w:r>
      <w:r w:rsidR="005C28EA">
        <w:rPr>
          <w:color w:val="000000"/>
          <w:shd w:val="clear" w:color="auto" w:fill="FFFFFF"/>
        </w:rPr>
        <w:t xml:space="preserve">надання </w:t>
      </w:r>
      <w:r w:rsidR="004B16BF">
        <w:rPr>
          <w:color w:val="000000"/>
          <w:shd w:val="clear" w:color="auto" w:fill="FFFFFF"/>
        </w:rPr>
        <w:t xml:space="preserve">однакового набору послуг однакової якості для кожного громадянина України, де б він не знаходився. </w:t>
      </w:r>
    </w:p>
    <w:p w14:paraId="253FD737" w14:textId="404EF49B" w:rsidR="00AA51E8" w:rsidRPr="00223FB4" w:rsidRDefault="001837A9" w:rsidP="001837A9">
      <w:pPr>
        <w:jc w:val="both"/>
        <w:rPr>
          <w:color w:val="000000"/>
          <w:shd w:val="clear" w:color="auto" w:fill="FFFFFF"/>
        </w:rPr>
      </w:pPr>
      <w:r>
        <w:rPr>
          <w:color w:val="000000"/>
          <w:shd w:val="clear" w:color="auto" w:fill="FFFFFF"/>
        </w:rPr>
        <w:t>З метою кращого управління</w:t>
      </w:r>
      <w:r w:rsidR="00AC4AF8">
        <w:rPr>
          <w:color w:val="000000"/>
          <w:shd w:val="clear" w:color="auto" w:fill="FFFFFF"/>
        </w:rPr>
        <w:t xml:space="preserve"> єдиний</w:t>
      </w:r>
      <w:r>
        <w:rPr>
          <w:color w:val="000000"/>
          <w:shd w:val="clear" w:color="auto" w:fill="FFFFFF"/>
        </w:rPr>
        <w:t xml:space="preserve"> замовник (Н</w:t>
      </w:r>
      <w:r w:rsidR="004B16BF">
        <w:rPr>
          <w:color w:val="000000"/>
          <w:shd w:val="clear" w:color="auto" w:fill="FFFFFF"/>
        </w:rPr>
        <w:t>аціональн</w:t>
      </w:r>
      <w:r>
        <w:rPr>
          <w:color w:val="000000"/>
          <w:shd w:val="clear" w:color="auto" w:fill="FFFFFF"/>
        </w:rPr>
        <w:t>а</w:t>
      </w:r>
      <w:r w:rsidR="004B16BF">
        <w:rPr>
          <w:color w:val="000000"/>
          <w:shd w:val="clear" w:color="auto" w:fill="FFFFFF"/>
        </w:rPr>
        <w:t xml:space="preserve"> </w:t>
      </w:r>
      <w:r>
        <w:rPr>
          <w:color w:val="000000"/>
          <w:shd w:val="clear" w:color="auto" w:fill="FFFFFF"/>
        </w:rPr>
        <w:t>агенція)</w:t>
      </w:r>
      <w:r w:rsidR="004B16BF">
        <w:rPr>
          <w:color w:val="000000"/>
          <w:shd w:val="clear" w:color="auto" w:fill="FFFFFF"/>
        </w:rPr>
        <w:t xml:space="preserve"> може мати відділення на </w:t>
      </w:r>
      <w:proofErr w:type="spellStart"/>
      <w:r w:rsidR="004B16BF">
        <w:rPr>
          <w:color w:val="000000"/>
          <w:shd w:val="clear" w:color="auto" w:fill="FFFFFF"/>
        </w:rPr>
        <w:t>субнаціональн</w:t>
      </w:r>
      <w:r>
        <w:rPr>
          <w:color w:val="000000"/>
          <w:shd w:val="clear" w:color="auto" w:fill="FFFFFF"/>
        </w:rPr>
        <w:t>ому</w:t>
      </w:r>
      <w:proofErr w:type="spellEnd"/>
      <w:r>
        <w:rPr>
          <w:color w:val="000000"/>
          <w:shd w:val="clear" w:color="auto" w:fill="FFFFFF"/>
        </w:rPr>
        <w:t xml:space="preserve"> рівні</w:t>
      </w:r>
      <w:r w:rsidR="004B16BF">
        <w:rPr>
          <w:color w:val="000000"/>
          <w:shd w:val="clear" w:color="auto" w:fill="FFFFFF"/>
        </w:rPr>
        <w:t xml:space="preserve">. </w:t>
      </w:r>
      <w:r>
        <w:rPr>
          <w:color w:val="000000"/>
          <w:shd w:val="clear" w:color="auto" w:fill="FFFFFF"/>
        </w:rPr>
        <w:t>Цей рівень повинен бути таким</w:t>
      </w:r>
      <w:r w:rsidR="004B16BF">
        <w:rPr>
          <w:color w:val="000000"/>
          <w:shd w:val="clear" w:color="auto" w:fill="FFFFFF"/>
        </w:rPr>
        <w:t xml:space="preserve">, </w:t>
      </w:r>
      <w:r>
        <w:rPr>
          <w:color w:val="000000"/>
          <w:shd w:val="clear" w:color="auto" w:fill="FFFFFF"/>
        </w:rPr>
        <w:t>що</w:t>
      </w:r>
      <w:r w:rsidR="004B16BF">
        <w:rPr>
          <w:color w:val="000000"/>
          <w:shd w:val="clear" w:color="auto" w:fill="FFFFFF"/>
        </w:rPr>
        <w:t xml:space="preserve"> дозволить не втрачати у ключових вигодах єдиного платника</w:t>
      </w:r>
      <w:r>
        <w:rPr>
          <w:color w:val="000000"/>
          <w:shd w:val="clear" w:color="auto" w:fill="FFFFFF"/>
        </w:rPr>
        <w:t xml:space="preserve"> – сильній закупівельній спроможності, ефективності, справедливості</w:t>
      </w:r>
      <w:r w:rsidR="00AC4AF8">
        <w:rPr>
          <w:color w:val="000000"/>
          <w:shd w:val="clear" w:color="auto" w:fill="FFFFFF"/>
        </w:rPr>
        <w:t xml:space="preserve">, таким чином буде дотримано принципу </w:t>
      </w:r>
      <w:proofErr w:type="spellStart"/>
      <w:r w:rsidR="00AC4AF8">
        <w:rPr>
          <w:color w:val="000000"/>
          <w:shd w:val="clear" w:color="auto" w:fill="FFFFFF"/>
        </w:rPr>
        <w:t>субсидіарності</w:t>
      </w:r>
      <w:proofErr w:type="spellEnd"/>
      <w:r w:rsidR="00AC4AF8">
        <w:rPr>
          <w:color w:val="000000"/>
          <w:shd w:val="clear" w:color="auto" w:fill="FFFFFF"/>
        </w:rPr>
        <w:t>.</w:t>
      </w:r>
      <w:r w:rsidR="004B16BF">
        <w:rPr>
          <w:color w:val="000000"/>
          <w:shd w:val="clear" w:color="auto" w:fill="FFFFFF"/>
        </w:rPr>
        <w:t xml:space="preserve"> Рівнем, який дозволяє це в Україні</w:t>
      </w:r>
      <w:r>
        <w:rPr>
          <w:color w:val="000000"/>
          <w:shd w:val="clear" w:color="auto" w:fill="FFFFFF"/>
        </w:rPr>
        <w:t>,</w:t>
      </w:r>
      <w:r w:rsidR="004B16BF">
        <w:rPr>
          <w:color w:val="000000"/>
          <w:shd w:val="clear" w:color="auto" w:fill="FFFFFF"/>
        </w:rPr>
        <w:t xml:space="preserve"> є рівень регіону. </w:t>
      </w:r>
      <w:r>
        <w:rPr>
          <w:color w:val="000000"/>
          <w:shd w:val="clear" w:color="auto" w:fill="FFFFFF"/>
        </w:rPr>
        <w:t>Важливо розуміти, що розташування офісу національного замовника послуг</w:t>
      </w:r>
      <w:r w:rsidR="004B16BF">
        <w:rPr>
          <w:color w:val="000000"/>
          <w:shd w:val="clear" w:color="auto" w:fill="FFFFFF"/>
        </w:rPr>
        <w:t xml:space="preserve"> </w:t>
      </w:r>
      <w:r w:rsidR="00442D2C">
        <w:rPr>
          <w:color w:val="000000"/>
          <w:shd w:val="clear" w:color="auto" w:fill="FFFFFF"/>
        </w:rPr>
        <w:t xml:space="preserve">в регіоні не дорівнює наданню повноважень регіональній владі фінансувати охорону здоров’я у тому сенсі, до якого ми звикли у діючій системі. </w:t>
      </w:r>
      <w:r>
        <w:rPr>
          <w:color w:val="000000"/>
          <w:shd w:val="clear" w:color="auto" w:fill="FFFFFF"/>
        </w:rPr>
        <w:t xml:space="preserve"> </w:t>
      </w:r>
    </w:p>
    <w:p w14:paraId="1D301526" w14:textId="77777777" w:rsidR="001060C6" w:rsidRDefault="002F13F3" w:rsidP="00B43C17">
      <w:pPr>
        <w:pStyle w:val="1"/>
        <w:jc w:val="both"/>
      </w:pPr>
      <w:r>
        <w:t>Реформа мережі лікарень</w:t>
      </w:r>
      <w:r w:rsidR="00AE3EB9">
        <w:t xml:space="preserve"> та переорієнтування системи на первинну ланку</w:t>
      </w:r>
    </w:p>
    <w:p w14:paraId="58A8272C" w14:textId="77777777" w:rsidR="008446F8" w:rsidRDefault="00E65AAC" w:rsidP="00D23B94">
      <w:pPr>
        <w:jc w:val="both"/>
      </w:pPr>
      <w:r>
        <w:t xml:space="preserve">Великим викликом </w:t>
      </w:r>
      <w:r w:rsidR="00F37A7D">
        <w:t xml:space="preserve">для уряду України в наступні п’ять років є радикальна оптимізація наявної інфраструктури та перенесення </w:t>
      </w:r>
      <w:r w:rsidR="00152D9E">
        <w:t>«центру маси» системи</w:t>
      </w:r>
      <w:r w:rsidR="00F37A7D">
        <w:t xml:space="preserve"> на первинну ланку. </w:t>
      </w:r>
    </w:p>
    <w:p w14:paraId="45F3B10E" w14:textId="77777777" w:rsidR="008446F8" w:rsidRDefault="008446F8" w:rsidP="00D23B94">
      <w:pPr>
        <w:jc w:val="both"/>
      </w:pPr>
      <w:r>
        <w:t>Справжньою</w:t>
      </w:r>
      <w:r w:rsidRPr="00B30596">
        <w:t xml:space="preserve"> проблемою України є успадкована від Радянського союзу надмірно роздута </w:t>
      </w:r>
      <w:proofErr w:type="spellStart"/>
      <w:r w:rsidRPr="00B30596">
        <w:t>фрагментована</w:t>
      </w:r>
      <w:proofErr w:type="spellEnd"/>
      <w:r w:rsidRPr="00B30596">
        <w:t xml:space="preserve"> лікарняна інфраструктура. Україна </w:t>
      </w:r>
      <w:r w:rsidR="00067806">
        <w:t>–</w:t>
      </w:r>
      <w:r w:rsidRPr="00B30596">
        <w:t xml:space="preserve"> європейськи</w:t>
      </w:r>
      <w:r w:rsidR="00067806">
        <w:t>й лідер</w:t>
      </w:r>
      <w:r w:rsidRPr="00B30596">
        <w:t xml:space="preserve"> за кількістю лікарняних ліжок на 1000 населення</w:t>
      </w:r>
      <w:r w:rsidR="00152D9E">
        <w:t>. В</w:t>
      </w:r>
      <w:r>
        <w:t>одночас</w:t>
      </w:r>
      <w:r w:rsidR="00067806">
        <w:t xml:space="preserve"> вона</w:t>
      </w:r>
      <w:r>
        <w:t xml:space="preserve"> посідає</w:t>
      </w:r>
      <w:r w:rsidRPr="00B30596">
        <w:t xml:space="preserve"> останнє місце за показником </w:t>
      </w:r>
      <w:r w:rsidRPr="00B30596">
        <w:lastRenderedPageBreak/>
        <w:t>фінансування охорони здоров’я на душу населення</w:t>
      </w:r>
      <w:r w:rsidR="00152D9E">
        <w:t xml:space="preserve"> (</w:t>
      </w:r>
      <w:r w:rsidR="00152D9E" w:rsidRPr="00152D9E">
        <w:rPr>
          <w:lang w:val="ru-RU"/>
        </w:rPr>
        <w:t xml:space="preserve">313$ </w:t>
      </w:r>
      <w:r w:rsidR="00152D9E">
        <w:rPr>
          <w:lang w:val="ru-RU"/>
        </w:rPr>
        <w:t xml:space="preserve">на душу </w:t>
      </w:r>
      <w:proofErr w:type="spellStart"/>
      <w:r w:rsidR="00152D9E">
        <w:rPr>
          <w:lang w:val="ru-RU"/>
        </w:rPr>
        <w:t>населення</w:t>
      </w:r>
      <w:proofErr w:type="spellEnd"/>
      <w:r w:rsidR="00152D9E">
        <w:rPr>
          <w:lang w:val="ru-RU"/>
        </w:rPr>
        <w:t xml:space="preserve"> у 2013 </w:t>
      </w:r>
      <w:proofErr w:type="spellStart"/>
      <w:r w:rsidR="00152D9E">
        <w:rPr>
          <w:lang w:val="ru-RU"/>
        </w:rPr>
        <w:t>році</w:t>
      </w:r>
      <w:proofErr w:type="spellEnd"/>
      <w:r w:rsidR="00152D9E">
        <w:rPr>
          <w:lang w:val="ru-RU"/>
        </w:rPr>
        <w:t xml:space="preserve">; у </w:t>
      </w:r>
      <w:proofErr w:type="spellStart"/>
      <w:r w:rsidR="00152D9E">
        <w:rPr>
          <w:lang w:val="ru-RU"/>
        </w:rPr>
        <w:t>Польщі</w:t>
      </w:r>
      <w:proofErr w:type="spellEnd"/>
      <w:r w:rsidR="00152D9E">
        <w:rPr>
          <w:lang w:val="ru-RU"/>
        </w:rPr>
        <w:t xml:space="preserve">, для </w:t>
      </w:r>
      <w:proofErr w:type="spellStart"/>
      <w:r w:rsidR="00152D9E">
        <w:rPr>
          <w:lang w:val="ru-RU"/>
        </w:rPr>
        <w:t>порівняння</w:t>
      </w:r>
      <w:proofErr w:type="spellEnd"/>
      <w:r w:rsidR="00152D9E">
        <w:rPr>
          <w:lang w:val="ru-RU"/>
        </w:rPr>
        <w:t xml:space="preserve"> – 895</w:t>
      </w:r>
      <w:r w:rsidR="00152D9E" w:rsidRPr="00152D9E">
        <w:rPr>
          <w:lang w:val="ru-RU"/>
        </w:rPr>
        <w:t>$</w:t>
      </w:r>
      <w:r w:rsidR="00152D9E">
        <w:rPr>
          <w:lang w:val="ru-RU"/>
        </w:rPr>
        <w:t>)</w:t>
      </w:r>
      <w:r w:rsidR="00790904">
        <w:rPr>
          <w:rStyle w:val="a6"/>
          <w:lang w:val="ru-RU"/>
        </w:rPr>
        <w:footnoteReference w:id="8"/>
      </w:r>
      <w:r w:rsidRPr="00B30596">
        <w:t xml:space="preserve">. </w:t>
      </w:r>
    </w:p>
    <w:p w14:paraId="30DC3968" w14:textId="77777777" w:rsidR="008446F8" w:rsidRDefault="008446F8" w:rsidP="00D23B94">
      <w:pPr>
        <w:jc w:val="both"/>
      </w:pPr>
      <w:r>
        <w:t xml:space="preserve">Гірше того, </w:t>
      </w:r>
      <w:r w:rsidR="002374D4">
        <w:t>величезна</w:t>
      </w:r>
      <w:r>
        <w:t xml:space="preserve"> інфраструктура де-факто не є єдиною мережею. Поглинаючи основну частку бюджету на охорону здоров’я, вона не здатна забезпечити адекватну відповідь на основні виклики України – серцево-судинні та онкологічні захворювання, які разом складають 80% причин смертності населення.</w:t>
      </w:r>
      <w:r w:rsidR="00067806" w:rsidRPr="00067806">
        <w:t xml:space="preserve"> </w:t>
      </w:r>
      <w:r w:rsidR="00532C58">
        <w:t>С</w:t>
      </w:r>
      <w:r w:rsidR="00067806">
        <w:t>піввідношення послуг між ІІ/ІІІ та І рівнями допомоги складає 80/20</w:t>
      </w:r>
      <w:r w:rsidR="00532C58">
        <w:t xml:space="preserve">, </w:t>
      </w:r>
      <w:r w:rsidR="00067806">
        <w:t>тоді як практикою розвинених країн є 20/80</w:t>
      </w:r>
      <w:r w:rsidR="00532C58">
        <w:t>. Українці отримують більшість медичної допомоги від спеціалістів в приміщеннях лікарень, що переобтяжує бюджет, але зовсім не допомагає їм бути здоровими.</w:t>
      </w:r>
    </w:p>
    <w:p w14:paraId="0B932406" w14:textId="77777777" w:rsidR="00AE3EB9" w:rsidRDefault="0007083E" w:rsidP="000256D8">
      <w:pPr>
        <w:jc w:val="both"/>
      </w:pPr>
      <w:r>
        <w:t>Таким чином, н</w:t>
      </w:r>
      <w:r w:rsidR="00532C58">
        <w:t>егайними завданнями уряду повинн</w:t>
      </w:r>
      <w:r>
        <w:t>і</w:t>
      </w:r>
      <w:r w:rsidR="00532C58">
        <w:t xml:space="preserve"> бути а) оптимізація структури та кількості лікарень, б) створення їх єдиної мережі в) перенесення «центру тяжіння»</w:t>
      </w:r>
      <w:r>
        <w:t xml:space="preserve"> системи</w:t>
      </w:r>
      <w:r w:rsidR="00532C58">
        <w:t xml:space="preserve"> на первинну ланку</w:t>
      </w:r>
      <w:r>
        <w:t xml:space="preserve"> допомоги</w:t>
      </w:r>
      <w:r w:rsidR="00532C58">
        <w:t xml:space="preserve">. </w:t>
      </w:r>
      <w:r w:rsidR="008446F8">
        <w:t>Такий радикальний розворот великої інерційної системи ніколи не буде можливий без наявності у центральних органів влади</w:t>
      </w:r>
      <w:r w:rsidR="00532C58">
        <w:t xml:space="preserve"> можливості</w:t>
      </w:r>
      <w:r w:rsidR="008446F8">
        <w:t xml:space="preserve"> мати </w:t>
      </w:r>
      <w:r w:rsidR="008446F8" w:rsidRPr="008446F8">
        <w:rPr>
          <w:i/>
          <w:lang w:val="en-US"/>
        </w:rPr>
        <w:t>helicopter</w:t>
      </w:r>
      <w:r w:rsidR="008446F8" w:rsidRPr="008446F8">
        <w:rPr>
          <w:i/>
        </w:rPr>
        <w:t xml:space="preserve"> </w:t>
      </w:r>
      <w:r w:rsidR="008446F8" w:rsidRPr="008446F8">
        <w:rPr>
          <w:i/>
          <w:lang w:val="en-US"/>
        </w:rPr>
        <w:t>view</w:t>
      </w:r>
      <w:r w:rsidR="008446F8">
        <w:t xml:space="preserve"> </w:t>
      </w:r>
      <w:r w:rsidR="00D23B94">
        <w:t xml:space="preserve">та інструментів діяти на цьому рівні. </w:t>
      </w:r>
    </w:p>
    <w:p w14:paraId="1D0BEC52" w14:textId="558BA436" w:rsidR="000439FF" w:rsidRDefault="000256D8" w:rsidP="004D32B9">
      <w:pPr>
        <w:jc w:val="both"/>
      </w:pPr>
      <w:r>
        <w:t xml:space="preserve">Передача функцій утримувати та фінансувати охорону здоров’я у їх нинішньому вигляді до понад тисячі органів місцевого самоврядування назавжди зацементує існуючу структуру лікарень та унеможливить швидкі кроки з </w:t>
      </w:r>
      <w:r w:rsidRPr="00D16130">
        <w:t xml:space="preserve">оптимізації їх мережі. </w:t>
      </w:r>
      <w:r w:rsidR="000439FF" w:rsidRPr="00D16130">
        <w:t>Лікарні також зазнають обмежень у наданні послуг людям з інших адміністративно-територіальних одиниць через складність горизонтальних міжбюджетних відносин. Це призведе до обмеження прав людей у отриманні медичної допомоги, особливо тих, хто проживає близько до лікарень, розташованих на території іншої адміністративно-територіальної одиниці.</w:t>
      </w:r>
      <w:r w:rsidR="000439FF">
        <w:t xml:space="preserve"> </w:t>
      </w:r>
    </w:p>
    <w:p w14:paraId="09D36198" w14:textId="76D8082F" w:rsidR="00203CA4" w:rsidRPr="00D16130" w:rsidRDefault="00C5274D" w:rsidP="00203CA4">
      <w:pPr>
        <w:pStyle w:val="2"/>
      </w:pPr>
      <w:r w:rsidRPr="00D16130">
        <w:t>Інтеграція приватного сектору в систему</w:t>
      </w:r>
      <w:r w:rsidR="004D32B9" w:rsidRPr="00D16130">
        <w:t xml:space="preserve"> охорони здоров’я</w:t>
      </w:r>
    </w:p>
    <w:p w14:paraId="0D53A916" w14:textId="56F61A45" w:rsidR="00203CA4" w:rsidRPr="00D16130" w:rsidRDefault="00203CA4" w:rsidP="004D32B9">
      <w:pPr>
        <w:jc w:val="both"/>
      </w:pPr>
      <w:r w:rsidRPr="00D16130">
        <w:t xml:space="preserve">Існуюча парадигма </w:t>
      </w:r>
      <w:r w:rsidR="006655D7" w:rsidRPr="00D16130">
        <w:t xml:space="preserve">також </w:t>
      </w:r>
      <w:r w:rsidR="006160C2" w:rsidRPr="00D16130">
        <w:t>практично виключає</w:t>
      </w:r>
      <w:r w:rsidRPr="00D16130">
        <w:t xml:space="preserve"> надання медичних послуг закладами охорони здоров’я будь-яких інших форм власності, крім державних та комунальних у їх нинішньому вигляді. </w:t>
      </w:r>
    </w:p>
    <w:p w14:paraId="5D8A728E" w14:textId="103DC746" w:rsidR="00203CA4" w:rsidRPr="00D16130" w:rsidRDefault="00203CA4" w:rsidP="00DB05BF">
      <w:pPr>
        <w:jc w:val="both"/>
      </w:pPr>
      <w:r w:rsidRPr="00D16130">
        <w:t>Нов</w:t>
      </w:r>
      <w:r w:rsidR="00B43C17" w:rsidRPr="00D16130">
        <w:t>ий</w:t>
      </w:r>
      <w:r w:rsidRPr="00D16130">
        <w:t xml:space="preserve"> </w:t>
      </w:r>
      <w:r w:rsidR="00B43C17" w:rsidRPr="00D16130">
        <w:t>підхід</w:t>
      </w:r>
      <w:r w:rsidRPr="00D16130">
        <w:t xml:space="preserve">, навпаки, передбачає активну інтеграцію приватного сектору в систему охорони здоров’я. </w:t>
      </w:r>
      <w:r w:rsidR="00B71A60" w:rsidRPr="00D16130">
        <w:t>Наприклад, контрольован</w:t>
      </w:r>
      <w:r w:rsidR="006160C2" w:rsidRPr="00D16130">
        <w:t>ий</w:t>
      </w:r>
      <w:r w:rsidR="00B71A60" w:rsidRPr="00D16130">
        <w:t xml:space="preserve"> </w:t>
      </w:r>
      <w:r w:rsidR="006160C2" w:rsidRPr="00D16130">
        <w:t>перехід первинної ланки на модель приватної практики</w:t>
      </w:r>
      <w:r w:rsidR="00BA4FF7" w:rsidRPr="00D16130">
        <w:rPr>
          <w:rStyle w:val="a6"/>
        </w:rPr>
        <w:footnoteReference w:id="9"/>
      </w:r>
      <w:r w:rsidR="006160C2" w:rsidRPr="00D16130">
        <w:t xml:space="preserve"> </w:t>
      </w:r>
      <w:r w:rsidR="00B71A60" w:rsidRPr="00D16130">
        <w:t xml:space="preserve"> повин</w:t>
      </w:r>
      <w:r w:rsidR="006160C2" w:rsidRPr="00D16130">
        <w:t>ен</w:t>
      </w:r>
      <w:r w:rsidR="00B71A60" w:rsidRPr="00D16130">
        <w:t xml:space="preserve"> стати основним інструм</w:t>
      </w:r>
      <w:r w:rsidR="00DB05BF" w:rsidRPr="00D16130">
        <w:t>ентом</w:t>
      </w:r>
      <w:r w:rsidR="006160C2" w:rsidRPr="00D16130">
        <w:t xml:space="preserve"> її</w:t>
      </w:r>
      <w:r w:rsidR="00DB05BF" w:rsidRPr="00D16130">
        <w:t xml:space="preserve"> розвитку. Поширен</w:t>
      </w:r>
      <w:r w:rsidR="006655D7" w:rsidRPr="00D16130">
        <w:t>им</w:t>
      </w:r>
      <w:r w:rsidR="00DB05BF" w:rsidRPr="00D16130">
        <w:t xml:space="preserve"> європейськ</w:t>
      </w:r>
      <w:r w:rsidR="006655D7" w:rsidRPr="00D16130">
        <w:t>им</w:t>
      </w:r>
      <w:r w:rsidR="00DB05BF" w:rsidRPr="00D16130">
        <w:t xml:space="preserve"> </w:t>
      </w:r>
      <w:r w:rsidR="006655D7" w:rsidRPr="00D16130">
        <w:t>досвідом</w:t>
      </w:r>
      <w:r w:rsidR="00DB05BF" w:rsidRPr="00D16130">
        <w:t xml:space="preserve"> є р</w:t>
      </w:r>
      <w:r w:rsidRPr="00D16130">
        <w:t xml:space="preserve">еформування первинної медичної допомоги через </w:t>
      </w:r>
      <w:r w:rsidRPr="00D16130">
        <w:rPr>
          <w:rFonts w:cs="UkrainianFreeSet"/>
        </w:rPr>
        <w:t>визнання сімейних лікарів автономними суб’єктами (через механізм приватної практики для первинної ланки за прикладом Великої Британії, Нідерландів, Данії), особливо у сільській місцевості</w:t>
      </w:r>
      <w:r w:rsidRPr="00D16130">
        <w:rPr>
          <w:rStyle w:val="a6"/>
          <w:rFonts w:cs="UkrainianFreeSet"/>
        </w:rPr>
        <w:footnoteReference w:id="10"/>
      </w:r>
      <w:r w:rsidRPr="00D16130">
        <w:rPr>
          <w:rFonts w:cs="UkrainianFreeSet"/>
        </w:rPr>
        <w:t>.</w:t>
      </w:r>
    </w:p>
    <w:p w14:paraId="235988F4" w14:textId="2E1F2BDA" w:rsidR="00203CA4" w:rsidRPr="00B30596" w:rsidRDefault="006160C2" w:rsidP="007B4BE0">
      <w:pPr>
        <w:jc w:val="both"/>
      </w:pPr>
      <w:r w:rsidRPr="00D16130">
        <w:t>Так само з</w:t>
      </w:r>
      <w:r w:rsidR="00B43C17" w:rsidRPr="00D16130">
        <w:t xml:space="preserve">алучення приватних інвестицій для розвитку сучасної медичної інфраструктури є важливою </w:t>
      </w:r>
      <w:r w:rsidRPr="00D16130">
        <w:t xml:space="preserve">додатковою </w:t>
      </w:r>
      <w:r w:rsidR="00B43C17" w:rsidRPr="00D16130">
        <w:t>стратегією</w:t>
      </w:r>
      <w:r w:rsidR="00B43C17">
        <w:t xml:space="preserve"> для покращення якості медичних послуг. Місцеві органи влади повинні зосередитись на залученні приватного інвестора до розвитку медичної інфраструктури своїх громад. Під час реформи децентралізації важливо уникнути консервації нинішньої системи, яка виключає приватного власника із системи охорони здоров’я та </w:t>
      </w:r>
      <w:r w:rsidR="00B43C17" w:rsidRPr="00B43C17">
        <w:t>прирікає</w:t>
      </w:r>
      <w:r w:rsidR="00B43C17">
        <w:t xml:space="preserve"> місцеву владу виснажувати власний бюджет та інституційні ресурси на забезпечення можливості нинішнім застарілим закладам продовжувати надавати послуги сумнівної якості.   </w:t>
      </w:r>
    </w:p>
    <w:p w14:paraId="3CE7CA8A" w14:textId="77777777" w:rsidR="004748E5" w:rsidRDefault="004748E5" w:rsidP="00F015A1">
      <w:pPr>
        <w:pStyle w:val="1"/>
      </w:pPr>
      <w:r>
        <w:t>Міжнародний досвід</w:t>
      </w:r>
      <w:r w:rsidR="00D4630D">
        <w:t>: прийнятна будь-яка модель, крім радянської</w:t>
      </w:r>
    </w:p>
    <w:p w14:paraId="2351D811" w14:textId="77777777" w:rsidR="004748E5" w:rsidRDefault="009F250C" w:rsidP="008D54F6">
      <w:pPr>
        <w:jc w:val="both"/>
      </w:pPr>
      <w:r>
        <w:t>Системи фінансування та організації послуг в розвинених країнах</w:t>
      </w:r>
      <w:r w:rsidR="00ED6AA7">
        <w:t xml:space="preserve"> відповідають описаним вище принципам. Вони</w:t>
      </w:r>
      <w:r>
        <w:t xml:space="preserve"> відрізняються залежно від моделі системи охорони здоров’я, а також традицій політичного та адміністративного устрою. Однак </w:t>
      </w:r>
      <w:r w:rsidR="001A75E0">
        <w:t>більшість розвинених країн</w:t>
      </w:r>
      <w:r>
        <w:t xml:space="preserve"> об’єднує кілька </w:t>
      </w:r>
      <w:r>
        <w:lastRenderedPageBreak/>
        <w:t xml:space="preserve">спільних рис: 1) </w:t>
      </w:r>
      <w:r w:rsidR="008D54F6">
        <w:t>фінансування відбувається за контрактами з медичними закладами, 2) замовник та постачальник послуг розмежовані – суб’єкт, який контрактує заклади (орган влади, орган охорони здоров’я, страховий фонд</w:t>
      </w:r>
      <w:r w:rsidR="00ED6AA7">
        <w:t>, агенція з фінансування</w:t>
      </w:r>
      <w:r w:rsidR="008D54F6">
        <w:t xml:space="preserve"> тощо) не володіє лікарнями, 3) замовник послуг (незалежно від форми) як правило знаходиться на регіональному рівні</w:t>
      </w:r>
      <w:r w:rsidR="00ED6AA7">
        <w:t xml:space="preserve"> (див. Таблицю 2</w:t>
      </w:r>
      <w:r w:rsidR="00502A26">
        <w:t>)</w:t>
      </w:r>
      <w:r w:rsidR="008D54F6">
        <w:t xml:space="preserve">. </w:t>
      </w:r>
      <w:r>
        <w:t xml:space="preserve"> </w:t>
      </w:r>
    </w:p>
    <w:tbl>
      <w:tblPr>
        <w:tblStyle w:val="a8"/>
        <w:tblW w:w="0" w:type="auto"/>
        <w:tblLayout w:type="fixed"/>
        <w:tblLook w:val="04A0" w:firstRow="1" w:lastRow="0" w:firstColumn="1" w:lastColumn="0" w:noHBand="0" w:noVBand="1"/>
      </w:tblPr>
      <w:tblGrid>
        <w:gridCol w:w="4957"/>
        <w:gridCol w:w="992"/>
        <w:gridCol w:w="1134"/>
        <w:gridCol w:w="1276"/>
        <w:gridCol w:w="1270"/>
      </w:tblGrid>
      <w:tr w:rsidR="00ED6AA7" w14:paraId="04EC3A83" w14:textId="77777777" w:rsidTr="00ED6AA7">
        <w:tc>
          <w:tcPr>
            <w:tcW w:w="9629" w:type="dxa"/>
            <w:gridSpan w:val="5"/>
            <w:tcBorders>
              <w:top w:val="nil"/>
              <w:left w:val="nil"/>
              <w:right w:val="nil"/>
            </w:tcBorders>
            <w:vAlign w:val="center"/>
          </w:tcPr>
          <w:p w14:paraId="15DAC60A" w14:textId="77777777" w:rsidR="00ED6AA7" w:rsidRPr="006674AB" w:rsidRDefault="00ED6AA7" w:rsidP="006674AB">
            <w:pPr>
              <w:rPr>
                <w:i/>
              </w:rPr>
            </w:pPr>
            <w:r w:rsidRPr="00ED6AA7">
              <w:rPr>
                <w:i/>
                <w:sz w:val="20"/>
              </w:rPr>
              <w:t>Таблиця 2. Рівні здійснення функцій охорони здоров’я в країнах з різними моделями охорони здоров’я</w:t>
            </w:r>
            <w:r w:rsidR="006674AB">
              <w:rPr>
                <w:rStyle w:val="a6"/>
                <w:i/>
                <w:sz w:val="20"/>
              </w:rPr>
              <w:footnoteReference w:id="11"/>
            </w:r>
            <w:r w:rsidR="006674AB" w:rsidRPr="006674AB">
              <w:rPr>
                <w:i/>
                <w:sz w:val="20"/>
              </w:rPr>
              <w:t xml:space="preserve"> </w:t>
            </w:r>
          </w:p>
        </w:tc>
      </w:tr>
      <w:tr w:rsidR="00B55251" w14:paraId="60C9F5E2" w14:textId="77777777" w:rsidTr="00B55251">
        <w:tc>
          <w:tcPr>
            <w:tcW w:w="4957" w:type="dxa"/>
            <w:vMerge w:val="restart"/>
            <w:vAlign w:val="center"/>
          </w:tcPr>
          <w:p w14:paraId="758D7500" w14:textId="77777777" w:rsidR="00B55251" w:rsidRDefault="00B55251" w:rsidP="00B55251">
            <w:pPr>
              <w:jc w:val="center"/>
            </w:pPr>
            <w:r>
              <w:t>Рівень</w:t>
            </w:r>
          </w:p>
        </w:tc>
        <w:tc>
          <w:tcPr>
            <w:tcW w:w="4672" w:type="dxa"/>
            <w:gridSpan w:val="4"/>
          </w:tcPr>
          <w:p w14:paraId="4ECE70CB" w14:textId="77777777" w:rsidR="00B55251" w:rsidRDefault="00B55251" w:rsidP="00B55251">
            <w:pPr>
              <w:jc w:val="center"/>
            </w:pPr>
            <w:r>
              <w:t>Функції в охороні здоров’я</w:t>
            </w:r>
          </w:p>
        </w:tc>
      </w:tr>
      <w:tr w:rsidR="00B55251" w14:paraId="4256FB84" w14:textId="77777777" w:rsidTr="00B55251">
        <w:tc>
          <w:tcPr>
            <w:tcW w:w="4957" w:type="dxa"/>
            <w:vMerge/>
          </w:tcPr>
          <w:p w14:paraId="3EEACCA6" w14:textId="77777777" w:rsidR="00B55251" w:rsidRDefault="00B55251" w:rsidP="004748E5"/>
        </w:tc>
        <w:tc>
          <w:tcPr>
            <w:tcW w:w="992" w:type="dxa"/>
            <w:vAlign w:val="center"/>
          </w:tcPr>
          <w:p w14:paraId="50B9C536" w14:textId="77777777" w:rsidR="00B55251" w:rsidRPr="00B55251" w:rsidRDefault="00B55251" w:rsidP="00B55251">
            <w:pPr>
              <w:jc w:val="center"/>
              <w:rPr>
                <w:i/>
                <w:sz w:val="20"/>
              </w:rPr>
            </w:pPr>
            <w:r w:rsidRPr="00B55251">
              <w:rPr>
                <w:i/>
                <w:sz w:val="20"/>
              </w:rPr>
              <w:t xml:space="preserve">Збирають публічні кошти на </w:t>
            </w:r>
            <w:proofErr w:type="spellStart"/>
            <w:r w:rsidRPr="00B55251">
              <w:rPr>
                <w:i/>
                <w:sz w:val="20"/>
              </w:rPr>
              <w:t>о</w:t>
            </w:r>
            <w:r>
              <w:rPr>
                <w:i/>
                <w:sz w:val="20"/>
              </w:rPr>
              <w:t>.з</w:t>
            </w:r>
            <w:proofErr w:type="spellEnd"/>
            <w:r>
              <w:rPr>
                <w:i/>
                <w:sz w:val="20"/>
              </w:rPr>
              <w:t>.</w:t>
            </w:r>
          </w:p>
        </w:tc>
        <w:tc>
          <w:tcPr>
            <w:tcW w:w="1134" w:type="dxa"/>
            <w:vAlign w:val="center"/>
          </w:tcPr>
          <w:p w14:paraId="01CF7858" w14:textId="77777777" w:rsidR="00B55251" w:rsidRPr="00B55251" w:rsidRDefault="00B55251" w:rsidP="00B55251">
            <w:pPr>
              <w:jc w:val="center"/>
              <w:rPr>
                <w:i/>
                <w:sz w:val="20"/>
              </w:rPr>
            </w:pPr>
            <w:r w:rsidRPr="00B55251">
              <w:rPr>
                <w:i/>
                <w:sz w:val="20"/>
              </w:rPr>
              <w:t>Контрактують заклади</w:t>
            </w:r>
          </w:p>
        </w:tc>
        <w:tc>
          <w:tcPr>
            <w:tcW w:w="1276" w:type="dxa"/>
            <w:vAlign w:val="center"/>
          </w:tcPr>
          <w:p w14:paraId="0F4885A3" w14:textId="77777777" w:rsidR="00B55251" w:rsidRPr="00B55251" w:rsidRDefault="00B55251" w:rsidP="00B55251">
            <w:pPr>
              <w:jc w:val="center"/>
              <w:rPr>
                <w:i/>
                <w:sz w:val="20"/>
              </w:rPr>
            </w:pPr>
            <w:r w:rsidRPr="00B55251">
              <w:rPr>
                <w:i/>
                <w:sz w:val="20"/>
              </w:rPr>
              <w:t>Володіють лікарнями ІІ рівня</w:t>
            </w:r>
          </w:p>
        </w:tc>
        <w:tc>
          <w:tcPr>
            <w:tcW w:w="1270" w:type="dxa"/>
            <w:vAlign w:val="center"/>
          </w:tcPr>
          <w:p w14:paraId="6C3B847F" w14:textId="77777777" w:rsidR="00B55251" w:rsidRPr="00B55251" w:rsidRDefault="00B55251" w:rsidP="00B55251">
            <w:pPr>
              <w:jc w:val="center"/>
              <w:rPr>
                <w:i/>
                <w:sz w:val="20"/>
              </w:rPr>
            </w:pPr>
            <w:r w:rsidRPr="00B55251">
              <w:rPr>
                <w:i/>
                <w:sz w:val="20"/>
              </w:rPr>
              <w:t>Володіють закладами І рівня</w:t>
            </w:r>
          </w:p>
        </w:tc>
      </w:tr>
      <w:tr w:rsidR="00B55251" w14:paraId="5F4F5B62" w14:textId="77777777" w:rsidTr="00B55251">
        <w:tc>
          <w:tcPr>
            <w:tcW w:w="9629" w:type="dxa"/>
            <w:gridSpan w:val="5"/>
            <w:vAlign w:val="center"/>
          </w:tcPr>
          <w:p w14:paraId="1DFBC8B4" w14:textId="77777777" w:rsidR="00B55251" w:rsidRDefault="00B55251" w:rsidP="00B55251">
            <w:pPr>
              <w:jc w:val="center"/>
            </w:pPr>
            <w:r>
              <w:t>Німеччина (страхова модель)</w:t>
            </w:r>
          </w:p>
        </w:tc>
      </w:tr>
      <w:tr w:rsidR="00B55251" w14:paraId="015AFBCD" w14:textId="77777777" w:rsidTr="001E0591">
        <w:tc>
          <w:tcPr>
            <w:tcW w:w="4957" w:type="dxa"/>
          </w:tcPr>
          <w:p w14:paraId="0271AF13" w14:textId="77777777" w:rsidR="00B55251" w:rsidRDefault="00B55251" w:rsidP="004748E5">
            <w:r>
              <w:t>Центральний</w:t>
            </w:r>
          </w:p>
        </w:tc>
        <w:tc>
          <w:tcPr>
            <w:tcW w:w="992" w:type="dxa"/>
            <w:vAlign w:val="center"/>
          </w:tcPr>
          <w:p w14:paraId="5E5611AA" w14:textId="77777777" w:rsidR="00B55251" w:rsidRDefault="00B55251" w:rsidP="001E0591">
            <w:pPr>
              <w:jc w:val="center"/>
            </w:pPr>
          </w:p>
        </w:tc>
        <w:tc>
          <w:tcPr>
            <w:tcW w:w="1134" w:type="dxa"/>
            <w:vAlign w:val="center"/>
          </w:tcPr>
          <w:p w14:paraId="26F09595" w14:textId="77777777" w:rsidR="00B55251" w:rsidRDefault="00B55251" w:rsidP="001E0591">
            <w:pPr>
              <w:jc w:val="center"/>
            </w:pPr>
          </w:p>
        </w:tc>
        <w:tc>
          <w:tcPr>
            <w:tcW w:w="1276" w:type="dxa"/>
            <w:vAlign w:val="center"/>
          </w:tcPr>
          <w:p w14:paraId="76A7320B" w14:textId="77777777" w:rsidR="00B55251" w:rsidRDefault="00B55251" w:rsidP="001E0591">
            <w:pPr>
              <w:jc w:val="center"/>
            </w:pPr>
          </w:p>
        </w:tc>
        <w:tc>
          <w:tcPr>
            <w:tcW w:w="1270" w:type="dxa"/>
            <w:vAlign w:val="center"/>
          </w:tcPr>
          <w:p w14:paraId="0737C3B0" w14:textId="77777777" w:rsidR="00B55251" w:rsidRDefault="00B55251" w:rsidP="001E0591">
            <w:pPr>
              <w:jc w:val="center"/>
            </w:pPr>
          </w:p>
        </w:tc>
      </w:tr>
      <w:tr w:rsidR="00B55251" w14:paraId="696F7C80" w14:textId="77777777" w:rsidTr="001E0591">
        <w:tc>
          <w:tcPr>
            <w:tcW w:w="4957" w:type="dxa"/>
          </w:tcPr>
          <w:p w14:paraId="1A7A982E" w14:textId="77777777" w:rsidR="00B55251" w:rsidRPr="00B55251" w:rsidRDefault="00B55251" w:rsidP="004748E5">
            <w:r>
              <w:t>Регіони (</w:t>
            </w:r>
            <w:proofErr w:type="spellStart"/>
            <w:r w:rsidRPr="00B55251">
              <w:rPr>
                <w:i/>
                <w:iCs/>
                <w:lang w:val="en-US"/>
              </w:rPr>
              <w:t>Länder</w:t>
            </w:r>
            <w:proofErr w:type="spellEnd"/>
            <w:r>
              <w:rPr>
                <w:i/>
                <w:iCs/>
              </w:rPr>
              <w:t>)</w:t>
            </w:r>
          </w:p>
        </w:tc>
        <w:tc>
          <w:tcPr>
            <w:tcW w:w="992" w:type="dxa"/>
            <w:vAlign w:val="center"/>
          </w:tcPr>
          <w:p w14:paraId="6C2CD2BC" w14:textId="77777777" w:rsidR="00B55251" w:rsidRDefault="00B55251" w:rsidP="001E0591">
            <w:pPr>
              <w:jc w:val="center"/>
            </w:pPr>
          </w:p>
        </w:tc>
        <w:tc>
          <w:tcPr>
            <w:tcW w:w="1134" w:type="dxa"/>
            <w:vAlign w:val="center"/>
          </w:tcPr>
          <w:p w14:paraId="0E9D5A38" w14:textId="77777777" w:rsidR="00B55251" w:rsidRDefault="00B55251" w:rsidP="001E0591">
            <w:pPr>
              <w:jc w:val="center"/>
            </w:pPr>
          </w:p>
        </w:tc>
        <w:tc>
          <w:tcPr>
            <w:tcW w:w="1276" w:type="dxa"/>
            <w:vAlign w:val="center"/>
          </w:tcPr>
          <w:p w14:paraId="459ABF08" w14:textId="77777777" w:rsidR="00B55251" w:rsidRDefault="001E0591" w:rsidP="001E0591">
            <w:pPr>
              <w:jc w:val="center"/>
            </w:pPr>
            <w:r>
              <w:t>Х</w:t>
            </w:r>
          </w:p>
        </w:tc>
        <w:tc>
          <w:tcPr>
            <w:tcW w:w="1270" w:type="dxa"/>
            <w:vAlign w:val="center"/>
          </w:tcPr>
          <w:p w14:paraId="5C9F6195" w14:textId="77777777" w:rsidR="00B55251" w:rsidRDefault="00B55251" w:rsidP="001E0591">
            <w:pPr>
              <w:jc w:val="center"/>
            </w:pPr>
          </w:p>
        </w:tc>
      </w:tr>
      <w:tr w:rsidR="00B55251" w14:paraId="35B9EED0" w14:textId="77777777" w:rsidTr="001E0591">
        <w:tc>
          <w:tcPr>
            <w:tcW w:w="4957" w:type="dxa"/>
          </w:tcPr>
          <w:p w14:paraId="75081F80" w14:textId="77777777" w:rsidR="00B55251" w:rsidRPr="00B55251" w:rsidRDefault="00B55251" w:rsidP="004748E5">
            <w:r>
              <w:t>Райони (</w:t>
            </w:r>
            <w:proofErr w:type="spellStart"/>
            <w:r w:rsidRPr="00B55251">
              <w:rPr>
                <w:i/>
                <w:iCs/>
                <w:lang w:val="en-US"/>
              </w:rPr>
              <w:t>Regierunngsbezirke</w:t>
            </w:r>
            <w:proofErr w:type="spellEnd"/>
            <w:r w:rsidRPr="00B55251">
              <w:rPr>
                <w:i/>
                <w:iCs/>
              </w:rPr>
              <w:t xml:space="preserve">, </w:t>
            </w:r>
            <w:proofErr w:type="spellStart"/>
            <w:r w:rsidRPr="00B55251">
              <w:rPr>
                <w:i/>
                <w:iCs/>
                <w:lang w:val="en-US"/>
              </w:rPr>
              <w:t>Kreisfreie</w:t>
            </w:r>
            <w:proofErr w:type="spellEnd"/>
            <w:r w:rsidRPr="00B55251">
              <w:rPr>
                <w:i/>
                <w:iCs/>
              </w:rPr>
              <w:t xml:space="preserve"> </w:t>
            </w:r>
            <w:r w:rsidRPr="00B55251">
              <w:rPr>
                <w:i/>
                <w:iCs/>
                <w:lang w:val="en-US"/>
              </w:rPr>
              <w:t>St</w:t>
            </w:r>
            <w:r w:rsidRPr="00B55251">
              <w:rPr>
                <w:i/>
                <w:iCs/>
              </w:rPr>
              <w:t>ä</w:t>
            </w:r>
            <w:proofErr w:type="spellStart"/>
            <w:r w:rsidRPr="00B55251">
              <w:rPr>
                <w:i/>
                <w:iCs/>
                <w:lang w:val="en-US"/>
              </w:rPr>
              <w:t>dte</w:t>
            </w:r>
            <w:proofErr w:type="spellEnd"/>
            <w:r w:rsidRPr="00B55251">
              <w:rPr>
                <w:i/>
                <w:iCs/>
              </w:rPr>
              <w:t xml:space="preserve">, </w:t>
            </w:r>
            <w:proofErr w:type="spellStart"/>
            <w:r w:rsidRPr="00B55251">
              <w:rPr>
                <w:i/>
                <w:iCs/>
                <w:lang w:val="en-US"/>
              </w:rPr>
              <w:t>Landkreise</w:t>
            </w:r>
            <w:proofErr w:type="spellEnd"/>
            <w:r w:rsidRPr="00B55251">
              <w:rPr>
                <w:i/>
                <w:iCs/>
              </w:rPr>
              <w:t xml:space="preserve"> Ä</w:t>
            </w:r>
            <w:proofErr w:type="spellStart"/>
            <w:r w:rsidRPr="00B55251">
              <w:rPr>
                <w:i/>
                <w:iCs/>
                <w:lang w:val="en-US"/>
              </w:rPr>
              <w:t>mter</w:t>
            </w:r>
            <w:proofErr w:type="spellEnd"/>
            <w:r w:rsidRPr="00B55251">
              <w:rPr>
                <w:i/>
                <w:iCs/>
              </w:rPr>
              <w:t xml:space="preserve">, </w:t>
            </w:r>
            <w:proofErr w:type="spellStart"/>
            <w:r w:rsidRPr="00B55251">
              <w:rPr>
                <w:i/>
                <w:iCs/>
                <w:lang w:val="en-US"/>
              </w:rPr>
              <w:t>Gemeindeverb</w:t>
            </w:r>
            <w:proofErr w:type="spellEnd"/>
            <w:r w:rsidRPr="00B55251">
              <w:rPr>
                <w:i/>
                <w:iCs/>
              </w:rPr>
              <w:t>ä</w:t>
            </w:r>
            <w:proofErr w:type="spellStart"/>
            <w:r w:rsidRPr="00B55251">
              <w:rPr>
                <w:i/>
                <w:iCs/>
                <w:lang w:val="en-US"/>
              </w:rPr>
              <w:t>nder</w:t>
            </w:r>
            <w:proofErr w:type="spellEnd"/>
            <w:r>
              <w:rPr>
                <w:i/>
                <w:iCs/>
              </w:rPr>
              <w:t>)</w:t>
            </w:r>
          </w:p>
        </w:tc>
        <w:tc>
          <w:tcPr>
            <w:tcW w:w="992" w:type="dxa"/>
            <w:vAlign w:val="center"/>
          </w:tcPr>
          <w:p w14:paraId="53AD6C02" w14:textId="77777777" w:rsidR="00B55251" w:rsidRDefault="00B55251" w:rsidP="001E0591">
            <w:pPr>
              <w:jc w:val="center"/>
            </w:pPr>
          </w:p>
        </w:tc>
        <w:tc>
          <w:tcPr>
            <w:tcW w:w="1134" w:type="dxa"/>
            <w:vAlign w:val="center"/>
          </w:tcPr>
          <w:p w14:paraId="3F1561F7" w14:textId="77777777" w:rsidR="00B55251" w:rsidRDefault="00B55251" w:rsidP="001E0591">
            <w:pPr>
              <w:jc w:val="center"/>
            </w:pPr>
          </w:p>
        </w:tc>
        <w:tc>
          <w:tcPr>
            <w:tcW w:w="1276" w:type="dxa"/>
            <w:vAlign w:val="center"/>
          </w:tcPr>
          <w:p w14:paraId="325C2762" w14:textId="77777777" w:rsidR="00B55251" w:rsidRDefault="001E0591" w:rsidP="001E0591">
            <w:pPr>
              <w:jc w:val="center"/>
            </w:pPr>
            <w:r>
              <w:t>Х</w:t>
            </w:r>
          </w:p>
        </w:tc>
        <w:tc>
          <w:tcPr>
            <w:tcW w:w="1270" w:type="dxa"/>
            <w:vAlign w:val="center"/>
          </w:tcPr>
          <w:p w14:paraId="145FAE99" w14:textId="77777777" w:rsidR="00B55251" w:rsidRDefault="00B55251" w:rsidP="001E0591">
            <w:pPr>
              <w:jc w:val="center"/>
            </w:pPr>
          </w:p>
        </w:tc>
      </w:tr>
      <w:tr w:rsidR="00B55251" w14:paraId="013229AD" w14:textId="77777777" w:rsidTr="001E0591">
        <w:tc>
          <w:tcPr>
            <w:tcW w:w="4957" w:type="dxa"/>
          </w:tcPr>
          <w:p w14:paraId="390B6320" w14:textId="77777777" w:rsidR="00B55251" w:rsidRPr="00B55251" w:rsidRDefault="00B55251" w:rsidP="004748E5">
            <w:r>
              <w:t>Громади (</w:t>
            </w:r>
            <w:proofErr w:type="spellStart"/>
            <w:r w:rsidRPr="00B55251">
              <w:rPr>
                <w:i/>
                <w:iCs/>
                <w:lang w:val="en-US"/>
              </w:rPr>
              <w:t>Gemeinden</w:t>
            </w:r>
            <w:proofErr w:type="spellEnd"/>
            <w:r w:rsidRPr="00B55251">
              <w:rPr>
                <w:i/>
                <w:iCs/>
                <w:lang w:val="en-US"/>
              </w:rPr>
              <w:t xml:space="preserve">, </w:t>
            </w:r>
            <w:proofErr w:type="spellStart"/>
            <w:r w:rsidRPr="00B55251">
              <w:rPr>
                <w:i/>
                <w:iCs/>
                <w:lang w:val="en-US"/>
              </w:rPr>
              <w:t>Städte</w:t>
            </w:r>
            <w:proofErr w:type="spellEnd"/>
            <w:r>
              <w:rPr>
                <w:i/>
                <w:iCs/>
              </w:rPr>
              <w:t>)</w:t>
            </w:r>
          </w:p>
        </w:tc>
        <w:tc>
          <w:tcPr>
            <w:tcW w:w="992" w:type="dxa"/>
            <w:vAlign w:val="center"/>
          </w:tcPr>
          <w:p w14:paraId="04E699FF" w14:textId="77777777" w:rsidR="00B55251" w:rsidRDefault="00B55251" w:rsidP="001E0591">
            <w:pPr>
              <w:jc w:val="center"/>
            </w:pPr>
          </w:p>
        </w:tc>
        <w:tc>
          <w:tcPr>
            <w:tcW w:w="1134" w:type="dxa"/>
            <w:vAlign w:val="center"/>
          </w:tcPr>
          <w:p w14:paraId="1DAE772C" w14:textId="77777777" w:rsidR="00B55251" w:rsidRDefault="00B55251" w:rsidP="001E0591">
            <w:pPr>
              <w:jc w:val="center"/>
            </w:pPr>
          </w:p>
        </w:tc>
        <w:tc>
          <w:tcPr>
            <w:tcW w:w="1276" w:type="dxa"/>
            <w:vAlign w:val="center"/>
          </w:tcPr>
          <w:p w14:paraId="491E9AEA" w14:textId="77777777" w:rsidR="00B55251" w:rsidRDefault="001E0591" w:rsidP="001E0591">
            <w:pPr>
              <w:jc w:val="center"/>
            </w:pPr>
            <w:r>
              <w:t xml:space="preserve">Х </w:t>
            </w:r>
          </w:p>
        </w:tc>
        <w:tc>
          <w:tcPr>
            <w:tcW w:w="1270" w:type="dxa"/>
            <w:vAlign w:val="center"/>
          </w:tcPr>
          <w:p w14:paraId="3629EB3C" w14:textId="77777777" w:rsidR="00B55251" w:rsidRDefault="00B55251" w:rsidP="001E0591">
            <w:pPr>
              <w:jc w:val="center"/>
            </w:pPr>
          </w:p>
        </w:tc>
      </w:tr>
      <w:tr w:rsidR="00B55251" w14:paraId="2BB032AC" w14:textId="77777777" w:rsidTr="001E0591">
        <w:tc>
          <w:tcPr>
            <w:tcW w:w="4957" w:type="dxa"/>
          </w:tcPr>
          <w:p w14:paraId="7C759342" w14:textId="77777777" w:rsidR="00B55251" w:rsidRDefault="00B55251" w:rsidP="004748E5">
            <w:r>
              <w:t>Страховий фонд</w:t>
            </w:r>
            <w:r w:rsidR="0070782F">
              <w:t xml:space="preserve"> (регіональні відділення)</w:t>
            </w:r>
          </w:p>
        </w:tc>
        <w:tc>
          <w:tcPr>
            <w:tcW w:w="992" w:type="dxa"/>
            <w:vAlign w:val="center"/>
          </w:tcPr>
          <w:p w14:paraId="459F3AC5" w14:textId="77777777" w:rsidR="00B55251" w:rsidRDefault="001E0591" w:rsidP="001E0591">
            <w:pPr>
              <w:jc w:val="center"/>
            </w:pPr>
            <w:r>
              <w:t xml:space="preserve">Х </w:t>
            </w:r>
          </w:p>
        </w:tc>
        <w:tc>
          <w:tcPr>
            <w:tcW w:w="1134" w:type="dxa"/>
            <w:vAlign w:val="center"/>
          </w:tcPr>
          <w:p w14:paraId="089E7D3F" w14:textId="77777777" w:rsidR="00B55251" w:rsidRDefault="001E0591" w:rsidP="001E0591">
            <w:pPr>
              <w:jc w:val="center"/>
            </w:pPr>
            <w:r>
              <w:t xml:space="preserve">Х </w:t>
            </w:r>
          </w:p>
        </w:tc>
        <w:tc>
          <w:tcPr>
            <w:tcW w:w="1276" w:type="dxa"/>
            <w:vAlign w:val="center"/>
          </w:tcPr>
          <w:p w14:paraId="4337A005" w14:textId="77777777" w:rsidR="00B55251" w:rsidRDefault="00B55251" w:rsidP="001E0591">
            <w:pPr>
              <w:jc w:val="center"/>
            </w:pPr>
          </w:p>
        </w:tc>
        <w:tc>
          <w:tcPr>
            <w:tcW w:w="1270" w:type="dxa"/>
            <w:vAlign w:val="center"/>
          </w:tcPr>
          <w:p w14:paraId="4802BA41" w14:textId="77777777" w:rsidR="00B55251" w:rsidRDefault="00B55251" w:rsidP="001E0591">
            <w:pPr>
              <w:jc w:val="center"/>
            </w:pPr>
          </w:p>
        </w:tc>
      </w:tr>
      <w:tr w:rsidR="00B55251" w14:paraId="2DF1B313" w14:textId="77777777" w:rsidTr="001E0591">
        <w:tc>
          <w:tcPr>
            <w:tcW w:w="4957" w:type="dxa"/>
          </w:tcPr>
          <w:p w14:paraId="2194A8E8" w14:textId="77777777" w:rsidR="00B55251" w:rsidRDefault="00B55251" w:rsidP="004748E5">
            <w:r>
              <w:t>Приватні</w:t>
            </w:r>
          </w:p>
        </w:tc>
        <w:tc>
          <w:tcPr>
            <w:tcW w:w="992" w:type="dxa"/>
            <w:vAlign w:val="center"/>
          </w:tcPr>
          <w:p w14:paraId="5F209D80" w14:textId="77777777" w:rsidR="00B55251" w:rsidRDefault="00B55251" w:rsidP="001E0591">
            <w:pPr>
              <w:jc w:val="center"/>
            </w:pPr>
          </w:p>
        </w:tc>
        <w:tc>
          <w:tcPr>
            <w:tcW w:w="1134" w:type="dxa"/>
            <w:vAlign w:val="center"/>
          </w:tcPr>
          <w:p w14:paraId="014733CF" w14:textId="77777777" w:rsidR="00B55251" w:rsidRDefault="00B55251" w:rsidP="001E0591">
            <w:pPr>
              <w:jc w:val="center"/>
            </w:pPr>
          </w:p>
        </w:tc>
        <w:tc>
          <w:tcPr>
            <w:tcW w:w="1276" w:type="dxa"/>
            <w:vAlign w:val="center"/>
          </w:tcPr>
          <w:p w14:paraId="239B4CCA" w14:textId="77777777" w:rsidR="00B55251" w:rsidRDefault="001E0591" w:rsidP="001E0591">
            <w:pPr>
              <w:jc w:val="center"/>
            </w:pPr>
            <w:r>
              <w:t xml:space="preserve">Х </w:t>
            </w:r>
          </w:p>
        </w:tc>
        <w:tc>
          <w:tcPr>
            <w:tcW w:w="1270" w:type="dxa"/>
            <w:vAlign w:val="center"/>
          </w:tcPr>
          <w:p w14:paraId="17DDAAE4" w14:textId="77777777" w:rsidR="00B55251" w:rsidRDefault="001E0591" w:rsidP="001E0591">
            <w:pPr>
              <w:jc w:val="center"/>
            </w:pPr>
            <w:r>
              <w:t xml:space="preserve">Х </w:t>
            </w:r>
          </w:p>
        </w:tc>
      </w:tr>
      <w:tr w:rsidR="00407C2D" w14:paraId="53FD9DBA" w14:textId="77777777" w:rsidTr="00407C2D">
        <w:tc>
          <w:tcPr>
            <w:tcW w:w="9629" w:type="dxa"/>
            <w:gridSpan w:val="5"/>
            <w:vAlign w:val="center"/>
          </w:tcPr>
          <w:p w14:paraId="2C6FB19D" w14:textId="77777777" w:rsidR="00407C2D" w:rsidRDefault="00407C2D" w:rsidP="00407C2D">
            <w:pPr>
              <w:jc w:val="center"/>
            </w:pPr>
            <w:r>
              <w:t>Угорщина (бюджетна модель)</w:t>
            </w:r>
          </w:p>
        </w:tc>
      </w:tr>
      <w:tr w:rsidR="00B55251" w14:paraId="3997AD85" w14:textId="77777777" w:rsidTr="0070782F">
        <w:tc>
          <w:tcPr>
            <w:tcW w:w="4957" w:type="dxa"/>
          </w:tcPr>
          <w:p w14:paraId="4398C7EB" w14:textId="77777777" w:rsidR="00B55251" w:rsidRDefault="00407C2D" w:rsidP="004748E5">
            <w:r>
              <w:t>Центральний</w:t>
            </w:r>
          </w:p>
        </w:tc>
        <w:tc>
          <w:tcPr>
            <w:tcW w:w="992" w:type="dxa"/>
            <w:vAlign w:val="center"/>
          </w:tcPr>
          <w:p w14:paraId="573A4E59" w14:textId="77777777" w:rsidR="00B55251" w:rsidRDefault="0070782F" w:rsidP="0070782F">
            <w:pPr>
              <w:jc w:val="center"/>
            </w:pPr>
            <w:r>
              <w:t>Х</w:t>
            </w:r>
          </w:p>
        </w:tc>
        <w:tc>
          <w:tcPr>
            <w:tcW w:w="1134" w:type="dxa"/>
            <w:vAlign w:val="center"/>
          </w:tcPr>
          <w:p w14:paraId="72DC8D36" w14:textId="77777777" w:rsidR="00B55251" w:rsidRDefault="00B55251" w:rsidP="0070782F">
            <w:pPr>
              <w:jc w:val="center"/>
            </w:pPr>
          </w:p>
        </w:tc>
        <w:tc>
          <w:tcPr>
            <w:tcW w:w="1276" w:type="dxa"/>
            <w:vAlign w:val="center"/>
          </w:tcPr>
          <w:p w14:paraId="12224B81" w14:textId="77777777" w:rsidR="00B55251" w:rsidRDefault="0070782F" w:rsidP="0070782F">
            <w:pPr>
              <w:jc w:val="center"/>
            </w:pPr>
            <w:r>
              <w:t>Х</w:t>
            </w:r>
          </w:p>
        </w:tc>
        <w:tc>
          <w:tcPr>
            <w:tcW w:w="1270" w:type="dxa"/>
            <w:vAlign w:val="center"/>
          </w:tcPr>
          <w:p w14:paraId="48B74325" w14:textId="77777777" w:rsidR="00B55251" w:rsidRDefault="00B55251" w:rsidP="0070782F">
            <w:pPr>
              <w:jc w:val="center"/>
            </w:pPr>
          </w:p>
        </w:tc>
      </w:tr>
      <w:tr w:rsidR="00B55251" w14:paraId="0F0F0CDA" w14:textId="77777777" w:rsidTr="0070782F">
        <w:tc>
          <w:tcPr>
            <w:tcW w:w="4957" w:type="dxa"/>
          </w:tcPr>
          <w:p w14:paraId="0AE8A14F" w14:textId="77777777" w:rsidR="00B55251" w:rsidRDefault="00407C2D" w:rsidP="004748E5">
            <w:r>
              <w:t>Регіони (регіональні органи охорони здоров’я)</w:t>
            </w:r>
          </w:p>
        </w:tc>
        <w:tc>
          <w:tcPr>
            <w:tcW w:w="992" w:type="dxa"/>
            <w:vAlign w:val="center"/>
          </w:tcPr>
          <w:p w14:paraId="19810CF2" w14:textId="77777777" w:rsidR="00B55251" w:rsidRDefault="00E4794A" w:rsidP="0070782F">
            <w:pPr>
              <w:jc w:val="center"/>
            </w:pPr>
            <w:r>
              <w:t xml:space="preserve">Х </w:t>
            </w:r>
          </w:p>
        </w:tc>
        <w:tc>
          <w:tcPr>
            <w:tcW w:w="1134" w:type="dxa"/>
            <w:vAlign w:val="center"/>
          </w:tcPr>
          <w:p w14:paraId="06DA7111" w14:textId="77777777" w:rsidR="00B55251" w:rsidRDefault="00E4794A" w:rsidP="0070782F">
            <w:pPr>
              <w:jc w:val="center"/>
            </w:pPr>
            <w:r>
              <w:t xml:space="preserve">Х </w:t>
            </w:r>
          </w:p>
        </w:tc>
        <w:tc>
          <w:tcPr>
            <w:tcW w:w="1276" w:type="dxa"/>
            <w:vAlign w:val="center"/>
          </w:tcPr>
          <w:p w14:paraId="053041CA" w14:textId="77777777" w:rsidR="00B55251" w:rsidRDefault="00B55251" w:rsidP="0070782F">
            <w:pPr>
              <w:jc w:val="center"/>
            </w:pPr>
          </w:p>
        </w:tc>
        <w:tc>
          <w:tcPr>
            <w:tcW w:w="1270" w:type="dxa"/>
            <w:vAlign w:val="center"/>
          </w:tcPr>
          <w:p w14:paraId="2758A718" w14:textId="77777777" w:rsidR="00B55251" w:rsidRDefault="00B55251" w:rsidP="0070782F">
            <w:pPr>
              <w:jc w:val="center"/>
            </w:pPr>
          </w:p>
        </w:tc>
      </w:tr>
      <w:tr w:rsidR="00B55251" w14:paraId="0488B8C5" w14:textId="77777777" w:rsidTr="0070782F">
        <w:tc>
          <w:tcPr>
            <w:tcW w:w="4957" w:type="dxa"/>
          </w:tcPr>
          <w:p w14:paraId="4F6CC576" w14:textId="77777777" w:rsidR="00B55251" w:rsidRPr="00407C2D" w:rsidRDefault="00407C2D" w:rsidP="004748E5">
            <w:r>
              <w:t>Райони (</w:t>
            </w:r>
            <w:proofErr w:type="spellStart"/>
            <w:r w:rsidRPr="00407C2D">
              <w:rPr>
                <w:i/>
                <w:iCs/>
                <w:lang w:val="en-US"/>
              </w:rPr>
              <w:t>Megye</w:t>
            </w:r>
            <w:proofErr w:type="spellEnd"/>
            <w:r w:rsidRPr="00407C2D">
              <w:rPr>
                <w:i/>
                <w:iCs/>
              </w:rPr>
              <w:t xml:space="preserve">, </w:t>
            </w:r>
            <w:proofErr w:type="spellStart"/>
            <w:r w:rsidRPr="00407C2D">
              <w:rPr>
                <w:i/>
                <w:iCs/>
                <w:lang w:val="en-US"/>
              </w:rPr>
              <w:t>Megyei</w:t>
            </w:r>
            <w:proofErr w:type="spellEnd"/>
            <w:r w:rsidRPr="00407C2D">
              <w:rPr>
                <w:i/>
                <w:iCs/>
              </w:rPr>
              <w:t xml:space="preserve"> </w:t>
            </w:r>
            <w:r w:rsidRPr="00407C2D">
              <w:rPr>
                <w:i/>
                <w:iCs/>
                <w:lang w:val="en-US"/>
              </w:rPr>
              <w:t>Jog</w:t>
            </w:r>
            <w:r w:rsidRPr="00407C2D">
              <w:rPr>
                <w:i/>
                <w:iCs/>
              </w:rPr>
              <w:t xml:space="preserve">ú </w:t>
            </w:r>
            <w:r w:rsidRPr="00407C2D">
              <w:rPr>
                <w:i/>
                <w:iCs/>
                <w:lang w:val="en-US"/>
              </w:rPr>
              <w:t>V</w:t>
            </w:r>
            <w:r w:rsidRPr="00407C2D">
              <w:rPr>
                <w:i/>
                <w:iCs/>
              </w:rPr>
              <w:t>á</w:t>
            </w:r>
            <w:proofErr w:type="spellStart"/>
            <w:r w:rsidRPr="00407C2D">
              <w:rPr>
                <w:i/>
                <w:iCs/>
                <w:lang w:val="en-US"/>
              </w:rPr>
              <w:t>ros</w:t>
            </w:r>
            <w:proofErr w:type="spellEnd"/>
            <w:r>
              <w:rPr>
                <w:i/>
                <w:iCs/>
              </w:rPr>
              <w:t>)</w:t>
            </w:r>
          </w:p>
        </w:tc>
        <w:tc>
          <w:tcPr>
            <w:tcW w:w="992" w:type="dxa"/>
            <w:vAlign w:val="center"/>
          </w:tcPr>
          <w:p w14:paraId="1AE01789" w14:textId="77777777" w:rsidR="00B55251" w:rsidRDefault="00B55251" w:rsidP="0070782F">
            <w:pPr>
              <w:jc w:val="center"/>
            </w:pPr>
          </w:p>
        </w:tc>
        <w:tc>
          <w:tcPr>
            <w:tcW w:w="1134" w:type="dxa"/>
            <w:vAlign w:val="center"/>
          </w:tcPr>
          <w:p w14:paraId="21F3AA2E" w14:textId="77777777" w:rsidR="00B55251" w:rsidRDefault="00B55251" w:rsidP="0070782F">
            <w:pPr>
              <w:jc w:val="center"/>
            </w:pPr>
          </w:p>
        </w:tc>
        <w:tc>
          <w:tcPr>
            <w:tcW w:w="1276" w:type="dxa"/>
            <w:vAlign w:val="center"/>
          </w:tcPr>
          <w:p w14:paraId="1BD45E29" w14:textId="77777777" w:rsidR="00B55251" w:rsidRDefault="00E4794A" w:rsidP="0070782F">
            <w:pPr>
              <w:jc w:val="center"/>
            </w:pPr>
            <w:r>
              <w:t xml:space="preserve">Х </w:t>
            </w:r>
          </w:p>
        </w:tc>
        <w:tc>
          <w:tcPr>
            <w:tcW w:w="1270" w:type="dxa"/>
            <w:vAlign w:val="center"/>
          </w:tcPr>
          <w:p w14:paraId="3D2D0E41" w14:textId="77777777" w:rsidR="00B55251" w:rsidRDefault="00B55251" w:rsidP="0070782F">
            <w:pPr>
              <w:jc w:val="center"/>
            </w:pPr>
          </w:p>
        </w:tc>
      </w:tr>
      <w:tr w:rsidR="00B55251" w14:paraId="509B8FE6" w14:textId="77777777" w:rsidTr="0070782F">
        <w:tc>
          <w:tcPr>
            <w:tcW w:w="4957" w:type="dxa"/>
          </w:tcPr>
          <w:p w14:paraId="0C25194A" w14:textId="77777777" w:rsidR="00B55251" w:rsidRDefault="00407C2D" w:rsidP="004748E5">
            <w:r>
              <w:t>Громади</w:t>
            </w:r>
          </w:p>
        </w:tc>
        <w:tc>
          <w:tcPr>
            <w:tcW w:w="992" w:type="dxa"/>
            <w:vAlign w:val="center"/>
          </w:tcPr>
          <w:p w14:paraId="0647D672" w14:textId="77777777" w:rsidR="00B55251" w:rsidRDefault="00B55251" w:rsidP="0070782F">
            <w:pPr>
              <w:jc w:val="center"/>
            </w:pPr>
          </w:p>
        </w:tc>
        <w:tc>
          <w:tcPr>
            <w:tcW w:w="1134" w:type="dxa"/>
            <w:vAlign w:val="center"/>
          </w:tcPr>
          <w:p w14:paraId="0CFA8D7D" w14:textId="77777777" w:rsidR="00B55251" w:rsidRDefault="00B55251" w:rsidP="0070782F">
            <w:pPr>
              <w:jc w:val="center"/>
            </w:pPr>
          </w:p>
        </w:tc>
        <w:tc>
          <w:tcPr>
            <w:tcW w:w="1276" w:type="dxa"/>
            <w:vAlign w:val="center"/>
          </w:tcPr>
          <w:p w14:paraId="03129F20" w14:textId="77777777" w:rsidR="00B55251" w:rsidRDefault="00E4794A" w:rsidP="0070782F">
            <w:pPr>
              <w:jc w:val="center"/>
            </w:pPr>
            <w:r>
              <w:t xml:space="preserve">Х </w:t>
            </w:r>
          </w:p>
        </w:tc>
        <w:tc>
          <w:tcPr>
            <w:tcW w:w="1270" w:type="dxa"/>
            <w:vAlign w:val="center"/>
          </w:tcPr>
          <w:p w14:paraId="7C6F3044" w14:textId="77777777" w:rsidR="00B55251" w:rsidRDefault="00E4794A" w:rsidP="0070782F">
            <w:pPr>
              <w:jc w:val="center"/>
            </w:pPr>
            <w:r>
              <w:t xml:space="preserve">Х </w:t>
            </w:r>
          </w:p>
        </w:tc>
      </w:tr>
      <w:tr w:rsidR="00B55251" w14:paraId="7484FB80" w14:textId="77777777" w:rsidTr="0070782F">
        <w:tc>
          <w:tcPr>
            <w:tcW w:w="4957" w:type="dxa"/>
          </w:tcPr>
          <w:p w14:paraId="7AEC4A62" w14:textId="77777777" w:rsidR="00B55251" w:rsidRDefault="00407C2D" w:rsidP="004748E5">
            <w:r>
              <w:t>Страховий фонд</w:t>
            </w:r>
          </w:p>
        </w:tc>
        <w:tc>
          <w:tcPr>
            <w:tcW w:w="992" w:type="dxa"/>
            <w:vAlign w:val="center"/>
          </w:tcPr>
          <w:p w14:paraId="55EE9E04" w14:textId="77777777" w:rsidR="00B55251" w:rsidRDefault="00B55251" w:rsidP="0070782F">
            <w:pPr>
              <w:jc w:val="center"/>
            </w:pPr>
          </w:p>
        </w:tc>
        <w:tc>
          <w:tcPr>
            <w:tcW w:w="1134" w:type="dxa"/>
            <w:vAlign w:val="center"/>
          </w:tcPr>
          <w:p w14:paraId="3E30E894" w14:textId="77777777" w:rsidR="00B55251" w:rsidRDefault="00B55251" w:rsidP="0070782F">
            <w:pPr>
              <w:jc w:val="center"/>
            </w:pPr>
          </w:p>
        </w:tc>
        <w:tc>
          <w:tcPr>
            <w:tcW w:w="1276" w:type="dxa"/>
            <w:vAlign w:val="center"/>
          </w:tcPr>
          <w:p w14:paraId="75574988" w14:textId="77777777" w:rsidR="00B55251" w:rsidRDefault="00B55251" w:rsidP="0070782F">
            <w:pPr>
              <w:jc w:val="center"/>
            </w:pPr>
          </w:p>
        </w:tc>
        <w:tc>
          <w:tcPr>
            <w:tcW w:w="1270" w:type="dxa"/>
            <w:vAlign w:val="center"/>
          </w:tcPr>
          <w:p w14:paraId="30ACE975" w14:textId="77777777" w:rsidR="00B55251" w:rsidRDefault="00B55251" w:rsidP="0070782F">
            <w:pPr>
              <w:jc w:val="center"/>
            </w:pPr>
          </w:p>
        </w:tc>
      </w:tr>
      <w:tr w:rsidR="00B55251" w14:paraId="1CB1A770" w14:textId="77777777" w:rsidTr="0070782F">
        <w:tc>
          <w:tcPr>
            <w:tcW w:w="4957" w:type="dxa"/>
          </w:tcPr>
          <w:p w14:paraId="2CB16113" w14:textId="77777777" w:rsidR="00B55251" w:rsidRDefault="00407C2D" w:rsidP="004748E5">
            <w:r>
              <w:t>Приватні</w:t>
            </w:r>
          </w:p>
        </w:tc>
        <w:tc>
          <w:tcPr>
            <w:tcW w:w="992" w:type="dxa"/>
            <w:vAlign w:val="center"/>
          </w:tcPr>
          <w:p w14:paraId="2BE5EE3F" w14:textId="77777777" w:rsidR="00B55251" w:rsidRDefault="00B55251" w:rsidP="0070782F">
            <w:pPr>
              <w:jc w:val="center"/>
            </w:pPr>
          </w:p>
        </w:tc>
        <w:tc>
          <w:tcPr>
            <w:tcW w:w="1134" w:type="dxa"/>
            <w:vAlign w:val="center"/>
          </w:tcPr>
          <w:p w14:paraId="2EF1A048" w14:textId="77777777" w:rsidR="00B55251" w:rsidRDefault="00B55251" w:rsidP="0070782F">
            <w:pPr>
              <w:jc w:val="center"/>
            </w:pPr>
          </w:p>
        </w:tc>
        <w:tc>
          <w:tcPr>
            <w:tcW w:w="1276" w:type="dxa"/>
            <w:vAlign w:val="center"/>
          </w:tcPr>
          <w:p w14:paraId="069EC93E" w14:textId="77777777" w:rsidR="00B55251" w:rsidRDefault="00B55251" w:rsidP="0070782F">
            <w:pPr>
              <w:jc w:val="center"/>
            </w:pPr>
          </w:p>
        </w:tc>
        <w:tc>
          <w:tcPr>
            <w:tcW w:w="1270" w:type="dxa"/>
            <w:vAlign w:val="center"/>
          </w:tcPr>
          <w:p w14:paraId="149B1642" w14:textId="77777777" w:rsidR="00B55251" w:rsidRDefault="00B55251" w:rsidP="0070782F">
            <w:pPr>
              <w:jc w:val="center"/>
            </w:pPr>
          </w:p>
        </w:tc>
      </w:tr>
      <w:tr w:rsidR="00407C2D" w14:paraId="2028CEB7" w14:textId="77777777" w:rsidTr="00E93C1B">
        <w:tc>
          <w:tcPr>
            <w:tcW w:w="9629" w:type="dxa"/>
            <w:gridSpan w:val="5"/>
            <w:vAlign w:val="center"/>
          </w:tcPr>
          <w:p w14:paraId="667135C6" w14:textId="77777777" w:rsidR="00407C2D" w:rsidRDefault="00407C2D" w:rsidP="00407C2D">
            <w:pPr>
              <w:jc w:val="center"/>
            </w:pPr>
            <w:r>
              <w:t>Польща (бюджетно-страхова модель)</w:t>
            </w:r>
          </w:p>
        </w:tc>
      </w:tr>
      <w:tr w:rsidR="00B55251" w14:paraId="04CBE5A4" w14:textId="77777777" w:rsidTr="001477C5">
        <w:tc>
          <w:tcPr>
            <w:tcW w:w="4957" w:type="dxa"/>
          </w:tcPr>
          <w:p w14:paraId="588EF787" w14:textId="77777777" w:rsidR="00B55251" w:rsidRDefault="00D64D54" w:rsidP="004748E5">
            <w:r>
              <w:t>Центральний</w:t>
            </w:r>
          </w:p>
        </w:tc>
        <w:tc>
          <w:tcPr>
            <w:tcW w:w="992" w:type="dxa"/>
            <w:vAlign w:val="center"/>
          </w:tcPr>
          <w:p w14:paraId="7FBAE6F5" w14:textId="77777777" w:rsidR="00B55251" w:rsidRDefault="001477C5" w:rsidP="001477C5">
            <w:pPr>
              <w:jc w:val="center"/>
            </w:pPr>
            <w:r>
              <w:t>Х</w:t>
            </w:r>
          </w:p>
        </w:tc>
        <w:tc>
          <w:tcPr>
            <w:tcW w:w="1134" w:type="dxa"/>
            <w:vAlign w:val="center"/>
          </w:tcPr>
          <w:p w14:paraId="403B3AF1" w14:textId="77777777" w:rsidR="00B55251" w:rsidRDefault="00B55251" w:rsidP="001477C5">
            <w:pPr>
              <w:jc w:val="center"/>
            </w:pPr>
          </w:p>
        </w:tc>
        <w:tc>
          <w:tcPr>
            <w:tcW w:w="1276" w:type="dxa"/>
            <w:vAlign w:val="center"/>
          </w:tcPr>
          <w:p w14:paraId="3B5105CB" w14:textId="77777777" w:rsidR="00B55251" w:rsidRDefault="00B55251" w:rsidP="001477C5">
            <w:pPr>
              <w:jc w:val="center"/>
            </w:pPr>
          </w:p>
        </w:tc>
        <w:tc>
          <w:tcPr>
            <w:tcW w:w="1270" w:type="dxa"/>
            <w:vAlign w:val="center"/>
          </w:tcPr>
          <w:p w14:paraId="2E581936" w14:textId="77777777" w:rsidR="00B55251" w:rsidRDefault="00B55251" w:rsidP="001477C5">
            <w:pPr>
              <w:jc w:val="center"/>
            </w:pPr>
          </w:p>
        </w:tc>
      </w:tr>
      <w:tr w:rsidR="00B55251" w14:paraId="6A49D5E3" w14:textId="77777777" w:rsidTr="001477C5">
        <w:tc>
          <w:tcPr>
            <w:tcW w:w="4957" w:type="dxa"/>
          </w:tcPr>
          <w:p w14:paraId="1D3580D3" w14:textId="77777777" w:rsidR="00B55251" w:rsidRPr="00D64D54" w:rsidRDefault="00D64D54" w:rsidP="004748E5">
            <w:r>
              <w:t>Регіони (</w:t>
            </w:r>
            <w:proofErr w:type="spellStart"/>
            <w:r w:rsidRPr="00D64D54">
              <w:rPr>
                <w:i/>
                <w:iCs/>
                <w:lang w:val="en-US"/>
              </w:rPr>
              <w:t>Województwa</w:t>
            </w:r>
            <w:proofErr w:type="spellEnd"/>
            <w:r>
              <w:rPr>
                <w:i/>
                <w:iCs/>
              </w:rPr>
              <w:t>)</w:t>
            </w:r>
          </w:p>
        </w:tc>
        <w:tc>
          <w:tcPr>
            <w:tcW w:w="992" w:type="dxa"/>
            <w:vAlign w:val="center"/>
          </w:tcPr>
          <w:p w14:paraId="289BD3A1" w14:textId="77777777" w:rsidR="00B55251" w:rsidRDefault="001477C5" w:rsidP="001477C5">
            <w:pPr>
              <w:jc w:val="center"/>
            </w:pPr>
            <w:r>
              <w:t>Х</w:t>
            </w:r>
          </w:p>
        </w:tc>
        <w:tc>
          <w:tcPr>
            <w:tcW w:w="1134" w:type="dxa"/>
            <w:vAlign w:val="center"/>
          </w:tcPr>
          <w:p w14:paraId="7D128B12" w14:textId="77777777" w:rsidR="00B55251" w:rsidRDefault="001477C5" w:rsidP="001477C5">
            <w:pPr>
              <w:jc w:val="center"/>
            </w:pPr>
            <w:r>
              <w:t xml:space="preserve">Х </w:t>
            </w:r>
          </w:p>
        </w:tc>
        <w:tc>
          <w:tcPr>
            <w:tcW w:w="1276" w:type="dxa"/>
            <w:vAlign w:val="center"/>
          </w:tcPr>
          <w:p w14:paraId="4B6E2B99" w14:textId="77777777" w:rsidR="00B55251" w:rsidRDefault="001477C5" w:rsidP="001477C5">
            <w:pPr>
              <w:jc w:val="center"/>
            </w:pPr>
            <w:r>
              <w:t>Х</w:t>
            </w:r>
          </w:p>
        </w:tc>
        <w:tc>
          <w:tcPr>
            <w:tcW w:w="1270" w:type="dxa"/>
            <w:vAlign w:val="center"/>
          </w:tcPr>
          <w:p w14:paraId="5C8B6260" w14:textId="77777777" w:rsidR="00B55251" w:rsidRDefault="00B55251" w:rsidP="001477C5">
            <w:pPr>
              <w:jc w:val="center"/>
            </w:pPr>
          </w:p>
        </w:tc>
      </w:tr>
      <w:tr w:rsidR="00B55251" w14:paraId="22AC856C" w14:textId="77777777" w:rsidTr="001477C5">
        <w:tc>
          <w:tcPr>
            <w:tcW w:w="4957" w:type="dxa"/>
          </w:tcPr>
          <w:p w14:paraId="2D9F5D94" w14:textId="77777777" w:rsidR="00B55251" w:rsidRPr="00D64D54" w:rsidRDefault="00D64D54" w:rsidP="004748E5">
            <w:r>
              <w:t>Райони (</w:t>
            </w:r>
            <w:proofErr w:type="spellStart"/>
            <w:r w:rsidRPr="00D64D54">
              <w:rPr>
                <w:i/>
                <w:iCs/>
                <w:lang w:val="en-US"/>
              </w:rPr>
              <w:t>Powiaty</w:t>
            </w:r>
            <w:proofErr w:type="spellEnd"/>
            <w:r>
              <w:rPr>
                <w:i/>
                <w:iCs/>
              </w:rPr>
              <w:t>)</w:t>
            </w:r>
          </w:p>
        </w:tc>
        <w:tc>
          <w:tcPr>
            <w:tcW w:w="992" w:type="dxa"/>
            <w:vAlign w:val="center"/>
          </w:tcPr>
          <w:p w14:paraId="55D5B0C2" w14:textId="77777777" w:rsidR="00B55251" w:rsidRDefault="00B55251" w:rsidP="001477C5">
            <w:pPr>
              <w:jc w:val="center"/>
            </w:pPr>
          </w:p>
        </w:tc>
        <w:tc>
          <w:tcPr>
            <w:tcW w:w="1134" w:type="dxa"/>
            <w:vAlign w:val="center"/>
          </w:tcPr>
          <w:p w14:paraId="01EAF2F3" w14:textId="77777777" w:rsidR="00B55251" w:rsidRDefault="00B55251" w:rsidP="001477C5">
            <w:pPr>
              <w:jc w:val="center"/>
            </w:pPr>
          </w:p>
        </w:tc>
        <w:tc>
          <w:tcPr>
            <w:tcW w:w="1276" w:type="dxa"/>
            <w:vAlign w:val="center"/>
          </w:tcPr>
          <w:p w14:paraId="2D76FA0B" w14:textId="77777777" w:rsidR="00B55251" w:rsidRDefault="001477C5" w:rsidP="001477C5">
            <w:pPr>
              <w:jc w:val="center"/>
            </w:pPr>
            <w:r>
              <w:t xml:space="preserve">Х </w:t>
            </w:r>
          </w:p>
        </w:tc>
        <w:tc>
          <w:tcPr>
            <w:tcW w:w="1270" w:type="dxa"/>
            <w:vAlign w:val="center"/>
          </w:tcPr>
          <w:p w14:paraId="48634074" w14:textId="77777777" w:rsidR="00B55251" w:rsidRDefault="001477C5" w:rsidP="001477C5">
            <w:pPr>
              <w:jc w:val="center"/>
            </w:pPr>
            <w:r>
              <w:t xml:space="preserve">Х </w:t>
            </w:r>
          </w:p>
        </w:tc>
      </w:tr>
      <w:tr w:rsidR="00407C2D" w14:paraId="3504A738" w14:textId="77777777" w:rsidTr="001477C5">
        <w:tc>
          <w:tcPr>
            <w:tcW w:w="4957" w:type="dxa"/>
          </w:tcPr>
          <w:p w14:paraId="4F874D8F" w14:textId="77777777" w:rsidR="00407C2D" w:rsidRPr="00D64D54" w:rsidRDefault="00D64D54" w:rsidP="004748E5">
            <w:r>
              <w:t>Громади (</w:t>
            </w:r>
            <w:proofErr w:type="spellStart"/>
            <w:r w:rsidRPr="00D64D54">
              <w:rPr>
                <w:i/>
                <w:iCs/>
                <w:lang w:val="en-US"/>
              </w:rPr>
              <w:t>Gminy</w:t>
            </w:r>
            <w:proofErr w:type="spellEnd"/>
            <w:r>
              <w:rPr>
                <w:i/>
                <w:iCs/>
              </w:rPr>
              <w:t>)</w:t>
            </w:r>
          </w:p>
        </w:tc>
        <w:tc>
          <w:tcPr>
            <w:tcW w:w="992" w:type="dxa"/>
            <w:vAlign w:val="center"/>
          </w:tcPr>
          <w:p w14:paraId="14B7522D" w14:textId="77777777" w:rsidR="00407C2D" w:rsidRDefault="00407C2D" w:rsidP="001477C5">
            <w:pPr>
              <w:jc w:val="center"/>
            </w:pPr>
          </w:p>
        </w:tc>
        <w:tc>
          <w:tcPr>
            <w:tcW w:w="1134" w:type="dxa"/>
            <w:vAlign w:val="center"/>
          </w:tcPr>
          <w:p w14:paraId="57D8390D" w14:textId="77777777" w:rsidR="00407C2D" w:rsidRDefault="00407C2D" w:rsidP="001477C5">
            <w:pPr>
              <w:jc w:val="center"/>
            </w:pPr>
          </w:p>
        </w:tc>
        <w:tc>
          <w:tcPr>
            <w:tcW w:w="1276" w:type="dxa"/>
            <w:vAlign w:val="center"/>
          </w:tcPr>
          <w:p w14:paraId="1D11841D" w14:textId="77777777" w:rsidR="00407C2D" w:rsidRDefault="00407C2D" w:rsidP="001477C5">
            <w:pPr>
              <w:jc w:val="center"/>
            </w:pPr>
          </w:p>
        </w:tc>
        <w:tc>
          <w:tcPr>
            <w:tcW w:w="1270" w:type="dxa"/>
            <w:vAlign w:val="center"/>
          </w:tcPr>
          <w:p w14:paraId="4405FE96" w14:textId="77777777" w:rsidR="00407C2D" w:rsidRDefault="00407C2D" w:rsidP="001477C5">
            <w:pPr>
              <w:jc w:val="center"/>
            </w:pPr>
          </w:p>
        </w:tc>
      </w:tr>
      <w:tr w:rsidR="00407C2D" w14:paraId="32C5451D" w14:textId="77777777" w:rsidTr="001477C5">
        <w:tc>
          <w:tcPr>
            <w:tcW w:w="4957" w:type="dxa"/>
          </w:tcPr>
          <w:p w14:paraId="0E8FEA4F" w14:textId="77777777" w:rsidR="00D64D54" w:rsidRDefault="00D64D54" w:rsidP="004748E5">
            <w:r>
              <w:t>Страховий фонд</w:t>
            </w:r>
          </w:p>
        </w:tc>
        <w:tc>
          <w:tcPr>
            <w:tcW w:w="992" w:type="dxa"/>
            <w:vAlign w:val="center"/>
          </w:tcPr>
          <w:p w14:paraId="421C9FCE" w14:textId="77777777" w:rsidR="00407C2D" w:rsidRDefault="001477C5" w:rsidP="001477C5">
            <w:pPr>
              <w:jc w:val="center"/>
            </w:pPr>
            <w:r>
              <w:t>Х</w:t>
            </w:r>
          </w:p>
        </w:tc>
        <w:tc>
          <w:tcPr>
            <w:tcW w:w="1134" w:type="dxa"/>
            <w:vAlign w:val="center"/>
          </w:tcPr>
          <w:p w14:paraId="5F2B8A22" w14:textId="77777777" w:rsidR="00407C2D" w:rsidRDefault="001477C5" w:rsidP="001477C5">
            <w:pPr>
              <w:jc w:val="center"/>
            </w:pPr>
            <w:r>
              <w:t xml:space="preserve">Х </w:t>
            </w:r>
          </w:p>
        </w:tc>
        <w:tc>
          <w:tcPr>
            <w:tcW w:w="1276" w:type="dxa"/>
            <w:vAlign w:val="center"/>
          </w:tcPr>
          <w:p w14:paraId="245F3490" w14:textId="77777777" w:rsidR="00407C2D" w:rsidRDefault="00407C2D" w:rsidP="001477C5">
            <w:pPr>
              <w:jc w:val="center"/>
            </w:pPr>
          </w:p>
        </w:tc>
        <w:tc>
          <w:tcPr>
            <w:tcW w:w="1270" w:type="dxa"/>
            <w:vAlign w:val="center"/>
          </w:tcPr>
          <w:p w14:paraId="7370359A" w14:textId="77777777" w:rsidR="00407C2D" w:rsidRDefault="00407C2D" w:rsidP="001477C5">
            <w:pPr>
              <w:jc w:val="center"/>
            </w:pPr>
          </w:p>
        </w:tc>
      </w:tr>
      <w:tr w:rsidR="00407C2D" w14:paraId="4E5944B3" w14:textId="77777777" w:rsidTr="001477C5">
        <w:tc>
          <w:tcPr>
            <w:tcW w:w="4957" w:type="dxa"/>
          </w:tcPr>
          <w:p w14:paraId="54F9403A" w14:textId="77777777" w:rsidR="00407C2D" w:rsidRDefault="00D64D54" w:rsidP="004748E5">
            <w:r>
              <w:t>Приватні</w:t>
            </w:r>
          </w:p>
        </w:tc>
        <w:tc>
          <w:tcPr>
            <w:tcW w:w="992" w:type="dxa"/>
            <w:vAlign w:val="center"/>
          </w:tcPr>
          <w:p w14:paraId="7921D0FA" w14:textId="77777777" w:rsidR="00407C2D" w:rsidRDefault="00407C2D" w:rsidP="001477C5">
            <w:pPr>
              <w:jc w:val="center"/>
            </w:pPr>
          </w:p>
        </w:tc>
        <w:tc>
          <w:tcPr>
            <w:tcW w:w="1134" w:type="dxa"/>
            <w:vAlign w:val="center"/>
          </w:tcPr>
          <w:p w14:paraId="215AF3D8" w14:textId="77777777" w:rsidR="00407C2D" w:rsidRDefault="00407C2D" w:rsidP="001477C5">
            <w:pPr>
              <w:jc w:val="center"/>
            </w:pPr>
          </w:p>
        </w:tc>
        <w:tc>
          <w:tcPr>
            <w:tcW w:w="1276" w:type="dxa"/>
            <w:vAlign w:val="center"/>
          </w:tcPr>
          <w:p w14:paraId="39496409" w14:textId="77777777" w:rsidR="00407C2D" w:rsidRDefault="00407C2D" w:rsidP="001477C5">
            <w:pPr>
              <w:jc w:val="center"/>
            </w:pPr>
          </w:p>
        </w:tc>
        <w:tc>
          <w:tcPr>
            <w:tcW w:w="1270" w:type="dxa"/>
            <w:vAlign w:val="center"/>
          </w:tcPr>
          <w:p w14:paraId="4F8F7A72" w14:textId="77777777" w:rsidR="00407C2D" w:rsidRDefault="00407C2D" w:rsidP="001477C5">
            <w:pPr>
              <w:jc w:val="center"/>
            </w:pPr>
          </w:p>
        </w:tc>
      </w:tr>
      <w:tr w:rsidR="00D64D54" w14:paraId="043BCCE2" w14:textId="77777777" w:rsidTr="00D64D54">
        <w:tc>
          <w:tcPr>
            <w:tcW w:w="9629" w:type="dxa"/>
            <w:gridSpan w:val="5"/>
            <w:vAlign w:val="center"/>
          </w:tcPr>
          <w:p w14:paraId="51AD6656" w14:textId="77777777" w:rsidR="00D64D54" w:rsidRDefault="00D64D54" w:rsidP="00D64D54">
            <w:pPr>
              <w:jc w:val="center"/>
            </w:pPr>
            <w:r>
              <w:t>Росія (страхова модель зі збереженням елементів радянської системи)</w:t>
            </w:r>
          </w:p>
        </w:tc>
      </w:tr>
      <w:tr w:rsidR="00407C2D" w14:paraId="7285F100" w14:textId="77777777" w:rsidTr="001477C5">
        <w:tc>
          <w:tcPr>
            <w:tcW w:w="4957" w:type="dxa"/>
          </w:tcPr>
          <w:p w14:paraId="052FB333" w14:textId="77777777" w:rsidR="00407C2D" w:rsidRDefault="00D64D54" w:rsidP="004748E5">
            <w:r>
              <w:t>Центральний</w:t>
            </w:r>
          </w:p>
        </w:tc>
        <w:tc>
          <w:tcPr>
            <w:tcW w:w="992" w:type="dxa"/>
            <w:vAlign w:val="center"/>
          </w:tcPr>
          <w:p w14:paraId="11FA6EBE" w14:textId="77777777" w:rsidR="00407C2D" w:rsidRDefault="001477C5" w:rsidP="001477C5">
            <w:pPr>
              <w:jc w:val="center"/>
            </w:pPr>
            <w:r>
              <w:t>Х</w:t>
            </w:r>
          </w:p>
        </w:tc>
        <w:tc>
          <w:tcPr>
            <w:tcW w:w="1134" w:type="dxa"/>
            <w:vAlign w:val="center"/>
          </w:tcPr>
          <w:p w14:paraId="4F771FE0" w14:textId="77777777" w:rsidR="00407C2D" w:rsidRDefault="001477C5" w:rsidP="001477C5">
            <w:pPr>
              <w:jc w:val="center"/>
            </w:pPr>
            <w:r>
              <w:t>Х</w:t>
            </w:r>
          </w:p>
        </w:tc>
        <w:tc>
          <w:tcPr>
            <w:tcW w:w="1276" w:type="dxa"/>
            <w:vAlign w:val="center"/>
          </w:tcPr>
          <w:p w14:paraId="280EBEB3" w14:textId="77777777" w:rsidR="00407C2D" w:rsidRDefault="00407C2D" w:rsidP="001477C5">
            <w:pPr>
              <w:jc w:val="center"/>
            </w:pPr>
          </w:p>
        </w:tc>
        <w:tc>
          <w:tcPr>
            <w:tcW w:w="1270" w:type="dxa"/>
            <w:vAlign w:val="center"/>
          </w:tcPr>
          <w:p w14:paraId="58B6A933" w14:textId="77777777" w:rsidR="00407C2D" w:rsidRDefault="00407C2D" w:rsidP="001477C5">
            <w:pPr>
              <w:jc w:val="center"/>
            </w:pPr>
          </w:p>
        </w:tc>
      </w:tr>
      <w:tr w:rsidR="00407C2D" w14:paraId="08C60C52" w14:textId="77777777" w:rsidTr="001477C5">
        <w:tc>
          <w:tcPr>
            <w:tcW w:w="4957" w:type="dxa"/>
          </w:tcPr>
          <w:p w14:paraId="177B8749" w14:textId="77777777" w:rsidR="00407C2D" w:rsidRDefault="00D64D54" w:rsidP="004748E5">
            <w:r>
              <w:t>Регіони (</w:t>
            </w:r>
            <w:proofErr w:type="spellStart"/>
            <w:r w:rsidRPr="00D64D54">
              <w:rPr>
                <w:i/>
              </w:rPr>
              <w:t>Облаті</w:t>
            </w:r>
            <w:proofErr w:type="spellEnd"/>
            <w:r w:rsidRPr="00D64D54">
              <w:rPr>
                <w:i/>
              </w:rPr>
              <w:t>, республіки</w:t>
            </w:r>
            <w:r>
              <w:t>)</w:t>
            </w:r>
          </w:p>
        </w:tc>
        <w:tc>
          <w:tcPr>
            <w:tcW w:w="992" w:type="dxa"/>
            <w:vAlign w:val="center"/>
          </w:tcPr>
          <w:p w14:paraId="7901BFC7" w14:textId="77777777" w:rsidR="00407C2D" w:rsidRDefault="001477C5" w:rsidP="001477C5">
            <w:pPr>
              <w:jc w:val="center"/>
            </w:pPr>
            <w:r>
              <w:t>Х</w:t>
            </w:r>
          </w:p>
        </w:tc>
        <w:tc>
          <w:tcPr>
            <w:tcW w:w="1134" w:type="dxa"/>
            <w:vAlign w:val="center"/>
          </w:tcPr>
          <w:p w14:paraId="53272157" w14:textId="77777777" w:rsidR="00407C2D" w:rsidRDefault="001477C5" w:rsidP="001477C5">
            <w:pPr>
              <w:jc w:val="center"/>
            </w:pPr>
            <w:r>
              <w:t>Х</w:t>
            </w:r>
          </w:p>
        </w:tc>
        <w:tc>
          <w:tcPr>
            <w:tcW w:w="1276" w:type="dxa"/>
            <w:vAlign w:val="center"/>
          </w:tcPr>
          <w:p w14:paraId="1F36DDC0" w14:textId="77777777" w:rsidR="00407C2D" w:rsidRDefault="00407C2D" w:rsidP="001477C5">
            <w:pPr>
              <w:jc w:val="center"/>
            </w:pPr>
          </w:p>
        </w:tc>
        <w:tc>
          <w:tcPr>
            <w:tcW w:w="1270" w:type="dxa"/>
            <w:vAlign w:val="center"/>
          </w:tcPr>
          <w:p w14:paraId="16E5CBBF" w14:textId="77777777" w:rsidR="00407C2D" w:rsidRDefault="00407C2D" w:rsidP="001477C5">
            <w:pPr>
              <w:jc w:val="center"/>
            </w:pPr>
          </w:p>
        </w:tc>
      </w:tr>
      <w:tr w:rsidR="00407C2D" w14:paraId="457FCB66" w14:textId="77777777" w:rsidTr="001477C5">
        <w:tc>
          <w:tcPr>
            <w:tcW w:w="4957" w:type="dxa"/>
          </w:tcPr>
          <w:p w14:paraId="30D36687" w14:textId="77777777" w:rsidR="00407C2D" w:rsidRDefault="00D64D54" w:rsidP="004748E5">
            <w:r>
              <w:t>Місцевий уряд (</w:t>
            </w:r>
            <w:r w:rsidRPr="00D64D54">
              <w:rPr>
                <w:i/>
              </w:rPr>
              <w:t>Муніципалітети</w:t>
            </w:r>
            <w:r>
              <w:t>)</w:t>
            </w:r>
          </w:p>
        </w:tc>
        <w:tc>
          <w:tcPr>
            <w:tcW w:w="992" w:type="dxa"/>
            <w:vAlign w:val="center"/>
          </w:tcPr>
          <w:p w14:paraId="3911207C" w14:textId="77777777" w:rsidR="00407C2D" w:rsidRDefault="001477C5" w:rsidP="001477C5">
            <w:pPr>
              <w:jc w:val="center"/>
            </w:pPr>
            <w:r>
              <w:t>Х</w:t>
            </w:r>
          </w:p>
        </w:tc>
        <w:tc>
          <w:tcPr>
            <w:tcW w:w="1134" w:type="dxa"/>
            <w:vAlign w:val="center"/>
          </w:tcPr>
          <w:p w14:paraId="61180DE9" w14:textId="77777777" w:rsidR="00407C2D" w:rsidRDefault="001477C5" w:rsidP="001477C5">
            <w:pPr>
              <w:jc w:val="center"/>
            </w:pPr>
            <w:r>
              <w:t>Х</w:t>
            </w:r>
          </w:p>
        </w:tc>
        <w:tc>
          <w:tcPr>
            <w:tcW w:w="1276" w:type="dxa"/>
            <w:vAlign w:val="center"/>
          </w:tcPr>
          <w:p w14:paraId="72DA8DD1" w14:textId="77777777" w:rsidR="00407C2D" w:rsidRDefault="001477C5" w:rsidP="001477C5">
            <w:pPr>
              <w:jc w:val="center"/>
            </w:pPr>
            <w:r>
              <w:t>Х</w:t>
            </w:r>
          </w:p>
        </w:tc>
        <w:tc>
          <w:tcPr>
            <w:tcW w:w="1270" w:type="dxa"/>
            <w:vAlign w:val="center"/>
          </w:tcPr>
          <w:p w14:paraId="457F7387" w14:textId="77777777" w:rsidR="00407C2D" w:rsidRDefault="001477C5" w:rsidP="001477C5">
            <w:pPr>
              <w:jc w:val="center"/>
            </w:pPr>
            <w:r>
              <w:t>Х</w:t>
            </w:r>
          </w:p>
        </w:tc>
      </w:tr>
      <w:tr w:rsidR="00407C2D" w14:paraId="668BFF55" w14:textId="77777777" w:rsidTr="001477C5">
        <w:tc>
          <w:tcPr>
            <w:tcW w:w="4957" w:type="dxa"/>
          </w:tcPr>
          <w:p w14:paraId="52AADB39" w14:textId="77777777" w:rsidR="00407C2D" w:rsidRDefault="00D64D54" w:rsidP="004748E5">
            <w:r>
              <w:t>Страховий фонд</w:t>
            </w:r>
          </w:p>
        </w:tc>
        <w:tc>
          <w:tcPr>
            <w:tcW w:w="992" w:type="dxa"/>
            <w:vAlign w:val="center"/>
          </w:tcPr>
          <w:p w14:paraId="7FA90B5F" w14:textId="77777777" w:rsidR="00407C2D" w:rsidRDefault="001477C5" w:rsidP="001477C5">
            <w:pPr>
              <w:jc w:val="center"/>
            </w:pPr>
            <w:r>
              <w:t>Х</w:t>
            </w:r>
          </w:p>
        </w:tc>
        <w:tc>
          <w:tcPr>
            <w:tcW w:w="1134" w:type="dxa"/>
            <w:vAlign w:val="center"/>
          </w:tcPr>
          <w:p w14:paraId="13262A69" w14:textId="77777777" w:rsidR="00407C2D" w:rsidRDefault="001477C5" w:rsidP="001477C5">
            <w:pPr>
              <w:jc w:val="center"/>
            </w:pPr>
            <w:r>
              <w:t>Х</w:t>
            </w:r>
          </w:p>
        </w:tc>
        <w:tc>
          <w:tcPr>
            <w:tcW w:w="1276" w:type="dxa"/>
            <w:vAlign w:val="center"/>
          </w:tcPr>
          <w:p w14:paraId="3A35AB07" w14:textId="77777777" w:rsidR="00407C2D" w:rsidRDefault="00407C2D" w:rsidP="001477C5">
            <w:pPr>
              <w:jc w:val="center"/>
            </w:pPr>
          </w:p>
        </w:tc>
        <w:tc>
          <w:tcPr>
            <w:tcW w:w="1270" w:type="dxa"/>
            <w:vAlign w:val="center"/>
          </w:tcPr>
          <w:p w14:paraId="37EEFDD1" w14:textId="77777777" w:rsidR="00407C2D" w:rsidRDefault="00407C2D" w:rsidP="001477C5">
            <w:pPr>
              <w:jc w:val="center"/>
            </w:pPr>
          </w:p>
        </w:tc>
      </w:tr>
      <w:tr w:rsidR="00407C2D" w14:paraId="7905A335" w14:textId="77777777" w:rsidTr="001477C5">
        <w:tc>
          <w:tcPr>
            <w:tcW w:w="4957" w:type="dxa"/>
          </w:tcPr>
          <w:p w14:paraId="23CF59DD" w14:textId="77777777" w:rsidR="00407C2D" w:rsidRDefault="00D64D54" w:rsidP="004748E5">
            <w:r>
              <w:t>Приватні</w:t>
            </w:r>
          </w:p>
        </w:tc>
        <w:tc>
          <w:tcPr>
            <w:tcW w:w="992" w:type="dxa"/>
            <w:vAlign w:val="center"/>
          </w:tcPr>
          <w:p w14:paraId="64B74208" w14:textId="77777777" w:rsidR="00407C2D" w:rsidRDefault="00407C2D" w:rsidP="001477C5">
            <w:pPr>
              <w:jc w:val="center"/>
            </w:pPr>
          </w:p>
        </w:tc>
        <w:tc>
          <w:tcPr>
            <w:tcW w:w="1134" w:type="dxa"/>
            <w:vAlign w:val="center"/>
          </w:tcPr>
          <w:p w14:paraId="656D296F" w14:textId="77777777" w:rsidR="00407C2D" w:rsidRDefault="00407C2D" w:rsidP="001477C5">
            <w:pPr>
              <w:jc w:val="center"/>
            </w:pPr>
          </w:p>
        </w:tc>
        <w:tc>
          <w:tcPr>
            <w:tcW w:w="1276" w:type="dxa"/>
            <w:vAlign w:val="center"/>
          </w:tcPr>
          <w:p w14:paraId="27DB832F" w14:textId="77777777" w:rsidR="00407C2D" w:rsidRDefault="00407C2D" w:rsidP="001477C5">
            <w:pPr>
              <w:jc w:val="center"/>
            </w:pPr>
          </w:p>
        </w:tc>
        <w:tc>
          <w:tcPr>
            <w:tcW w:w="1270" w:type="dxa"/>
            <w:vAlign w:val="center"/>
          </w:tcPr>
          <w:p w14:paraId="2B445F38" w14:textId="77777777" w:rsidR="00407C2D" w:rsidRDefault="00407C2D" w:rsidP="001477C5">
            <w:pPr>
              <w:jc w:val="center"/>
            </w:pPr>
          </w:p>
        </w:tc>
      </w:tr>
    </w:tbl>
    <w:p w14:paraId="68532D79" w14:textId="77777777" w:rsidR="00502A26" w:rsidRDefault="00ED6AA7" w:rsidP="00187357">
      <w:pPr>
        <w:spacing w:before="240"/>
        <w:jc w:val="both"/>
      </w:pPr>
      <w:r>
        <w:t>Таблиця 2</w:t>
      </w:r>
      <w:r w:rsidR="006A5AA5">
        <w:t xml:space="preserve"> яскраво демонструє, що справжні відмінності в системах фінансування та організації охорони здоров’я існують не між різними моделями розвинених країн (страховою, бюджетною, бюджетно-страховою), а між ними</w:t>
      </w:r>
      <w:r>
        <w:t xml:space="preserve"> усіма</w:t>
      </w:r>
      <w:r w:rsidR="006A5AA5">
        <w:t xml:space="preserve"> та радянською системою, елементи якої, попри прогрес у впровадженні страхової моделі, досі зберігає Росія та ще в більшій мірі Україна, яка </w:t>
      </w:r>
      <w:r>
        <w:t xml:space="preserve">з часів розпаду СРСР </w:t>
      </w:r>
      <w:r w:rsidR="006A5AA5">
        <w:t>одна на пострадянському просторі не провела істотних реформ в системі</w:t>
      </w:r>
      <w:r>
        <w:t xml:space="preserve"> фінансування</w:t>
      </w:r>
      <w:r w:rsidR="006A5AA5">
        <w:t xml:space="preserve"> охорони здоров’я. </w:t>
      </w:r>
    </w:p>
    <w:tbl>
      <w:tblPr>
        <w:tblStyle w:val="a8"/>
        <w:tblW w:w="0" w:type="auto"/>
        <w:tblInd w:w="5" w:type="dxa"/>
        <w:tblLayout w:type="fixed"/>
        <w:tblLook w:val="04A0" w:firstRow="1" w:lastRow="0" w:firstColumn="1" w:lastColumn="0" w:noHBand="0" w:noVBand="1"/>
      </w:tblPr>
      <w:tblGrid>
        <w:gridCol w:w="4957"/>
        <w:gridCol w:w="992"/>
        <w:gridCol w:w="1134"/>
        <w:gridCol w:w="1276"/>
        <w:gridCol w:w="1270"/>
      </w:tblGrid>
      <w:tr w:rsidR="00ED6AA7" w14:paraId="78BC2826" w14:textId="77777777" w:rsidTr="00ED6AA7">
        <w:tc>
          <w:tcPr>
            <w:tcW w:w="9629" w:type="dxa"/>
            <w:gridSpan w:val="5"/>
            <w:tcBorders>
              <w:top w:val="nil"/>
              <w:left w:val="nil"/>
            </w:tcBorders>
            <w:vAlign w:val="center"/>
          </w:tcPr>
          <w:p w14:paraId="5A0479A9" w14:textId="77777777" w:rsidR="00ED6AA7" w:rsidRPr="00ED6AA7" w:rsidRDefault="00ED6AA7" w:rsidP="00ED6AA7">
            <w:pPr>
              <w:rPr>
                <w:i/>
              </w:rPr>
            </w:pPr>
            <w:r w:rsidRPr="00ED6AA7">
              <w:rPr>
                <w:i/>
                <w:sz w:val="20"/>
              </w:rPr>
              <w:t>Таблиця 3. Рівні здійснення функції в охороні здоров’я в Україні</w:t>
            </w:r>
          </w:p>
        </w:tc>
      </w:tr>
      <w:tr w:rsidR="001477C5" w14:paraId="389C66A9" w14:textId="77777777" w:rsidTr="00ED6AA7">
        <w:tc>
          <w:tcPr>
            <w:tcW w:w="4957" w:type="dxa"/>
            <w:vMerge w:val="restart"/>
            <w:vAlign w:val="center"/>
          </w:tcPr>
          <w:p w14:paraId="655D3F40" w14:textId="77777777" w:rsidR="001477C5" w:rsidRDefault="001477C5" w:rsidP="001477C5">
            <w:pPr>
              <w:jc w:val="center"/>
            </w:pPr>
            <w:r>
              <w:t>Рівень</w:t>
            </w:r>
          </w:p>
        </w:tc>
        <w:tc>
          <w:tcPr>
            <w:tcW w:w="4672" w:type="dxa"/>
            <w:gridSpan w:val="4"/>
          </w:tcPr>
          <w:p w14:paraId="4550676C" w14:textId="77777777" w:rsidR="001477C5" w:rsidRDefault="001477C5" w:rsidP="001477C5">
            <w:pPr>
              <w:jc w:val="center"/>
            </w:pPr>
            <w:r>
              <w:t>Функції в охороні здоров’я</w:t>
            </w:r>
          </w:p>
        </w:tc>
      </w:tr>
      <w:tr w:rsidR="001477C5" w14:paraId="33C67287" w14:textId="77777777" w:rsidTr="00ED6AA7">
        <w:tc>
          <w:tcPr>
            <w:tcW w:w="4957" w:type="dxa"/>
            <w:vMerge/>
          </w:tcPr>
          <w:p w14:paraId="631B45B9" w14:textId="77777777" w:rsidR="001477C5" w:rsidRDefault="001477C5" w:rsidP="001477C5"/>
        </w:tc>
        <w:tc>
          <w:tcPr>
            <w:tcW w:w="992" w:type="dxa"/>
            <w:vAlign w:val="center"/>
          </w:tcPr>
          <w:p w14:paraId="284EAC5D" w14:textId="77777777" w:rsidR="001477C5" w:rsidRPr="00B55251" w:rsidRDefault="001477C5" w:rsidP="001477C5">
            <w:pPr>
              <w:jc w:val="center"/>
              <w:rPr>
                <w:i/>
                <w:sz w:val="20"/>
              </w:rPr>
            </w:pPr>
            <w:r w:rsidRPr="00B55251">
              <w:rPr>
                <w:i/>
                <w:sz w:val="20"/>
              </w:rPr>
              <w:t xml:space="preserve">Збирають публічні </w:t>
            </w:r>
            <w:r w:rsidRPr="00B55251">
              <w:rPr>
                <w:i/>
                <w:sz w:val="20"/>
              </w:rPr>
              <w:lastRenderedPageBreak/>
              <w:t xml:space="preserve">кошти на </w:t>
            </w:r>
            <w:proofErr w:type="spellStart"/>
            <w:r w:rsidRPr="00B55251">
              <w:rPr>
                <w:i/>
                <w:sz w:val="20"/>
              </w:rPr>
              <w:t>о</w:t>
            </w:r>
            <w:r>
              <w:rPr>
                <w:i/>
                <w:sz w:val="20"/>
              </w:rPr>
              <w:t>.з</w:t>
            </w:r>
            <w:proofErr w:type="spellEnd"/>
            <w:r>
              <w:rPr>
                <w:i/>
                <w:sz w:val="20"/>
              </w:rPr>
              <w:t>.</w:t>
            </w:r>
          </w:p>
        </w:tc>
        <w:tc>
          <w:tcPr>
            <w:tcW w:w="1134" w:type="dxa"/>
            <w:vAlign w:val="center"/>
          </w:tcPr>
          <w:p w14:paraId="6D3743AC" w14:textId="77777777" w:rsidR="001477C5" w:rsidRPr="00B55251" w:rsidRDefault="001477C5" w:rsidP="001477C5">
            <w:pPr>
              <w:jc w:val="center"/>
              <w:rPr>
                <w:i/>
                <w:sz w:val="20"/>
              </w:rPr>
            </w:pPr>
            <w:r w:rsidRPr="00B55251">
              <w:rPr>
                <w:i/>
                <w:sz w:val="20"/>
              </w:rPr>
              <w:lastRenderedPageBreak/>
              <w:t>Контрактують заклади</w:t>
            </w:r>
          </w:p>
        </w:tc>
        <w:tc>
          <w:tcPr>
            <w:tcW w:w="1276" w:type="dxa"/>
            <w:vAlign w:val="center"/>
          </w:tcPr>
          <w:p w14:paraId="7C2C2028" w14:textId="77777777" w:rsidR="001477C5" w:rsidRPr="00B55251" w:rsidRDefault="001477C5" w:rsidP="001477C5">
            <w:pPr>
              <w:jc w:val="center"/>
              <w:rPr>
                <w:i/>
                <w:sz w:val="20"/>
              </w:rPr>
            </w:pPr>
            <w:r w:rsidRPr="00B55251">
              <w:rPr>
                <w:i/>
                <w:sz w:val="20"/>
              </w:rPr>
              <w:t>Володіють лікарнями ІІ рівня</w:t>
            </w:r>
          </w:p>
        </w:tc>
        <w:tc>
          <w:tcPr>
            <w:tcW w:w="1270" w:type="dxa"/>
            <w:vAlign w:val="center"/>
          </w:tcPr>
          <w:p w14:paraId="43DA9657" w14:textId="77777777" w:rsidR="001477C5" w:rsidRPr="00B55251" w:rsidRDefault="001477C5" w:rsidP="001477C5">
            <w:pPr>
              <w:jc w:val="center"/>
              <w:rPr>
                <w:i/>
                <w:sz w:val="20"/>
              </w:rPr>
            </w:pPr>
            <w:r w:rsidRPr="00B55251">
              <w:rPr>
                <w:i/>
                <w:sz w:val="20"/>
              </w:rPr>
              <w:t>Володіють закладами І рівня</w:t>
            </w:r>
          </w:p>
        </w:tc>
      </w:tr>
      <w:tr w:rsidR="001477C5" w14:paraId="174C8875" w14:textId="77777777" w:rsidTr="00ED6AA7">
        <w:tc>
          <w:tcPr>
            <w:tcW w:w="9629" w:type="dxa"/>
            <w:gridSpan w:val="5"/>
            <w:vAlign w:val="center"/>
          </w:tcPr>
          <w:p w14:paraId="5F248699" w14:textId="77777777" w:rsidR="001477C5" w:rsidRDefault="001477C5" w:rsidP="001477C5">
            <w:pPr>
              <w:jc w:val="center"/>
            </w:pPr>
            <w:r>
              <w:lastRenderedPageBreak/>
              <w:t>Україна (діюча пострадянська модель)</w:t>
            </w:r>
          </w:p>
        </w:tc>
      </w:tr>
      <w:tr w:rsidR="001477C5" w14:paraId="44B1373B" w14:textId="77777777" w:rsidTr="00ED6AA7">
        <w:tc>
          <w:tcPr>
            <w:tcW w:w="4957" w:type="dxa"/>
          </w:tcPr>
          <w:p w14:paraId="6E1BA10E" w14:textId="77777777" w:rsidR="001477C5" w:rsidRDefault="001477C5" w:rsidP="001477C5">
            <w:r>
              <w:t>Центральний</w:t>
            </w:r>
          </w:p>
        </w:tc>
        <w:tc>
          <w:tcPr>
            <w:tcW w:w="992" w:type="dxa"/>
            <w:vAlign w:val="center"/>
          </w:tcPr>
          <w:p w14:paraId="34FE8AE6" w14:textId="77777777" w:rsidR="001477C5" w:rsidRDefault="001477C5" w:rsidP="001477C5">
            <w:pPr>
              <w:jc w:val="center"/>
            </w:pPr>
            <w:r>
              <w:t xml:space="preserve">Х </w:t>
            </w:r>
          </w:p>
        </w:tc>
        <w:tc>
          <w:tcPr>
            <w:tcW w:w="1134" w:type="dxa"/>
            <w:vAlign w:val="center"/>
          </w:tcPr>
          <w:p w14:paraId="24237A4A" w14:textId="77777777" w:rsidR="001477C5" w:rsidRDefault="001477C5" w:rsidP="001477C5">
            <w:pPr>
              <w:jc w:val="center"/>
            </w:pPr>
            <w:r>
              <w:t xml:space="preserve">Х </w:t>
            </w:r>
          </w:p>
        </w:tc>
        <w:tc>
          <w:tcPr>
            <w:tcW w:w="1276" w:type="dxa"/>
            <w:vAlign w:val="center"/>
          </w:tcPr>
          <w:p w14:paraId="00172F78" w14:textId="77777777" w:rsidR="001477C5" w:rsidRDefault="001477C5" w:rsidP="001477C5">
            <w:pPr>
              <w:jc w:val="center"/>
            </w:pPr>
            <w:r>
              <w:t>Х</w:t>
            </w:r>
          </w:p>
        </w:tc>
        <w:tc>
          <w:tcPr>
            <w:tcW w:w="1270" w:type="dxa"/>
            <w:vAlign w:val="center"/>
          </w:tcPr>
          <w:p w14:paraId="1484C61E" w14:textId="77777777" w:rsidR="001477C5" w:rsidRDefault="001477C5" w:rsidP="001477C5">
            <w:pPr>
              <w:jc w:val="center"/>
            </w:pPr>
          </w:p>
        </w:tc>
      </w:tr>
      <w:tr w:rsidR="001477C5" w14:paraId="26B7E085" w14:textId="77777777" w:rsidTr="00ED6AA7">
        <w:tc>
          <w:tcPr>
            <w:tcW w:w="4957" w:type="dxa"/>
          </w:tcPr>
          <w:p w14:paraId="5DA09AC2" w14:textId="77777777" w:rsidR="001477C5" w:rsidRDefault="001477C5" w:rsidP="001477C5">
            <w:r>
              <w:t>Регіони (</w:t>
            </w:r>
            <w:r w:rsidRPr="001477C5">
              <w:rPr>
                <w:i/>
              </w:rPr>
              <w:t>Області</w:t>
            </w:r>
            <w:r>
              <w:t>)</w:t>
            </w:r>
          </w:p>
        </w:tc>
        <w:tc>
          <w:tcPr>
            <w:tcW w:w="992" w:type="dxa"/>
            <w:vAlign w:val="center"/>
          </w:tcPr>
          <w:p w14:paraId="755DE14F" w14:textId="77777777" w:rsidR="001477C5" w:rsidRDefault="001477C5" w:rsidP="001477C5">
            <w:pPr>
              <w:jc w:val="center"/>
            </w:pPr>
            <w:r>
              <w:t xml:space="preserve">Х </w:t>
            </w:r>
          </w:p>
        </w:tc>
        <w:tc>
          <w:tcPr>
            <w:tcW w:w="1134" w:type="dxa"/>
            <w:vAlign w:val="center"/>
          </w:tcPr>
          <w:p w14:paraId="2D9995ED" w14:textId="77777777" w:rsidR="001477C5" w:rsidRDefault="001477C5" w:rsidP="001477C5">
            <w:pPr>
              <w:jc w:val="center"/>
            </w:pPr>
            <w:r>
              <w:t xml:space="preserve">Х </w:t>
            </w:r>
          </w:p>
        </w:tc>
        <w:tc>
          <w:tcPr>
            <w:tcW w:w="1276" w:type="dxa"/>
            <w:vAlign w:val="center"/>
          </w:tcPr>
          <w:p w14:paraId="7819733F" w14:textId="77777777" w:rsidR="001477C5" w:rsidRDefault="001477C5" w:rsidP="001477C5">
            <w:pPr>
              <w:jc w:val="center"/>
            </w:pPr>
            <w:r>
              <w:t xml:space="preserve">Х </w:t>
            </w:r>
          </w:p>
        </w:tc>
        <w:tc>
          <w:tcPr>
            <w:tcW w:w="1270" w:type="dxa"/>
            <w:vAlign w:val="center"/>
          </w:tcPr>
          <w:p w14:paraId="0367230A" w14:textId="77777777" w:rsidR="001477C5" w:rsidRDefault="001477C5" w:rsidP="001477C5">
            <w:pPr>
              <w:jc w:val="center"/>
            </w:pPr>
          </w:p>
        </w:tc>
      </w:tr>
      <w:tr w:rsidR="001477C5" w14:paraId="4B77E169" w14:textId="77777777" w:rsidTr="00ED6AA7">
        <w:tc>
          <w:tcPr>
            <w:tcW w:w="4957" w:type="dxa"/>
          </w:tcPr>
          <w:p w14:paraId="772D1665" w14:textId="77777777" w:rsidR="001477C5" w:rsidRDefault="001477C5" w:rsidP="001477C5">
            <w:r>
              <w:t>Міста (</w:t>
            </w:r>
            <w:r w:rsidR="00972967">
              <w:rPr>
                <w:i/>
              </w:rPr>
              <w:t>Муніципалітети</w:t>
            </w:r>
            <w:r>
              <w:t>)</w:t>
            </w:r>
          </w:p>
        </w:tc>
        <w:tc>
          <w:tcPr>
            <w:tcW w:w="992" w:type="dxa"/>
            <w:vAlign w:val="center"/>
          </w:tcPr>
          <w:p w14:paraId="17C116DB" w14:textId="77777777" w:rsidR="001477C5" w:rsidRDefault="001477C5" w:rsidP="001477C5">
            <w:pPr>
              <w:jc w:val="center"/>
            </w:pPr>
            <w:r>
              <w:t xml:space="preserve">Х </w:t>
            </w:r>
          </w:p>
        </w:tc>
        <w:tc>
          <w:tcPr>
            <w:tcW w:w="1134" w:type="dxa"/>
            <w:vAlign w:val="center"/>
          </w:tcPr>
          <w:p w14:paraId="65969444" w14:textId="77777777" w:rsidR="001477C5" w:rsidRDefault="001477C5" w:rsidP="001477C5">
            <w:pPr>
              <w:jc w:val="center"/>
            </w:pPr>
            <w:r>
              <w:t xml:space="preserve">Х </w:t>
            </w:r>
          </w:p>
        </w:tc>
        <w:tc>
          <w:tcPr>
            <w:tcW w:w="1276" w:type="dxa"/>
            <w:vAlign w:val="center"/>
          </w:tcPr>
          <w:p w14:paraId="5CC2E432" w14:textId="77777777" w:rsidR="001477C5" w:rsidRDefault="001477C5" w:rsidP="001477C5">
            <w:pPr>
              <w:jc w:val="center"/>
            </w:pPr>
            <w:r>
              <w:t xml:space="preserve">Х </w:t>
            </w:r>
          </w:p>
        </w:tc>
        <w:tc>
          <w:tcPr>
            <w:tcW w:w="1270" w:type="dxa"/>
            <w:vAlign w:val="center"/>
          </w:tcPr>
          <w:p w14:paraId="3BB936CB" w14:textId="77777777" w:rsidR="001477C5" w:rsidRDefault="001477C5" w:rsidP="001477C5">
            <w:pPr>
              <w:jc w:val="center"/>
            </w:pPr>
            <w:r>
              <w:t xml:space="preserve">Х </w:t>
            </w:r>
          </w:p>
        </w:tc>
      </w:tr>
      <w:tr w:rsidR="001477C5" w14:paraId="47065D6A" w14:textId="77777777" w:rsidTr="00ED6AA7">
        <w:tc>
          <w:tcPr>
            <w:tcW w:w="4957" w:type="dxa"/>
          </w:tcPr>
          <w:p w14:paraId="510F66EA" w14:textId="77777777" w:rsidR="001477C5" w:rsidRDefault="001477C5" w:rsidP="00972967">
            <w:r>
              <w:t>Райони</w:t>
            </w:r>
          </w:p>
        </w:tc>
        <w:tc>
          <w:tcPr>
            <w:tcW w:w="992" w:type="dxa"/>
            <w:vAlign w:val="center"/>
          </w:tcPr>
          <w:p w14:paraId="56EBFCD1" w14:textId="77777777" w:rsidR="001477C5" w:rsidRDefault="001477C5" w:rsidP="001477C5">
            <w:pPr>
              <w:jc w:val="center"/>
            </w:pPr>
            <w:r>
              <w:t xml:space="preserve">Х </w:t>
            </w:r>
          </w:p>
        </w:tc>
        <w:tc>
          <w:tcPr>
            <w:tcW w:w="1134" w:type="dxa"/>
            <w:vAlign w:val="center"/>
          </w:tcPr>
          <w:p w14:paraId="364EC7A7" w14:textId="77777777" w:rsidR="001477C5" w:rsidRDefault="001477C5" w:rsidP="001477C5">
            <w:pPr>
              <w:jc w:val="center"/>
            </w:pPr>
            <w:r>
              <w:t xml:space="preserve">Х </w:t>
            </w:r>
          </w:p>
        </w:tc>
        <w:tc>
          <w:tcPr>
            <w:tcW w:w="1276" w:type="dxa"/>
            <w:vAlign w:val="center"/>
          </w:tcPr>
          <w:p w14:paraId="074E1076" w14:textId="77777777" w:rsidR="001477C5" w:rsidRDefault="001477C5" w:rsidP="001477C5">
            <w:pPr>
              <w:jc w:val="center"/>
            </w:pPr>
            <w:r>
              <w:t xml:space="preserve">Х </w:t>
            </w:r>
          </w:p>
        </w:tc>
        <w:tc>
          <w:tcPr>
            <w:tcW w:w="1270" w:type="dxa"/>
            <w:vAlign w:val="center"/>
          </w:tcPr>
          <w:p w14:paraId="58DA3A95" w14:textId="77777777" w:rsidR="001477C5" w:rsidRDefault="001477C5" w:rsidP="001477C5">
            <w:pPr>
              <w:jc w:val="center"/>
            </w:pPr>
            <w:r>
              <w:t xml:space="preserve">Х </w:t>
            </w:r>
          </w:p>
        </w:tc>
      </w:tr>
      <w:tr w:rsidR="001477C5" w14:paraId="7E1BC42A" w14:textId="77777777" w:rsidTr="00ED6AA7">
        <w:tc>
          <w:tcPr>
            <w:tcW w:w="4957" w:type="dxa"/>
          </w:tcPr>
          <w:p w14:paraId="5A3A8BF0" w14:textId="77777777" w:rsidR="001477C5" w:rsidRDefault="001477C5" w:rsidP="001477C5">
            <w:r>
              <w:t>Громади (</w:t>
            </w:r>
            <w:r w:rsidRPr="001477C5">
              <w:rPr>
                <w:i/>
              </w:rPr>
              <w:t>Села</w:t>
            </w:r>
            <w:r>
              <w:t>)</w:t>
            </w:r>
          </w:p>
        </w:tc>
        <w:tc>
          <w:tcPr>
            <w:tcW w:w="992" w:type="dxa"/>
            <w:vAlign w:val="center"/>
          </w:tcPr>
          <w:p w14:paraId="13176DA0" w14:textId="77777777" w:rsidR="001477C5" w:rsidRDefault="001477C5" w:rsidP="001477C5">
            <w:pPr>
              <w:jc w:val="center"/>
            </w:pPr>
          </w:p>
        </w:tc>
        <w:tc>
          <w:tcPr>
            <w:tcW w:w="1134" w:type="dxa"/>
            <w:vAlign w:val="center"/>
          </w:tcPr>
          <w:p w14:paraId="04D55B23" w14:textId="77777777" w:rsidR="001477C5" w:rsidRDefault="001477C5" w:rsidP="001477C5">
            <w:pPr>
              <w:jc w:val="center"/>
            </w:pPr>
          </w:p>
        </w:tc>
        <w:tc>
          <w:tcPr>
            <w:tcW w:w="1276" w:type="dxa"/>
            <w:vAlign w:val="center"/>
          </w:tcPr>
          <w:p w14:paraId="0815F030" w14:textId="77777777" w:rsidR="001477C5" w:rsidRDefault="001477C5" w:rsidP="001477C5">
            <w:pPr>
              <w:jc w:val="center"/>
            </w:pPr>
          </w:p>
        </w:tc>
        <w:tc>
          <w:tcPr>
            <w:tcW w:w="1270" w:type="dxa"/>
            <w:vAlign w:val="center"/>
          </w:tcPr>
          <w:p w14:paraId="4CAC03D4" w14:textId="77777777" w:rsidR="001477C5" w:rsidRDefault="001477C5" w:rsidP="001477C5">
            <w:pPr>
              <w:jc w:val="center"/>
            </w:pPr>
          </w:p>
        </w:tc>
      </w:tr>
      <w:tr w:rsidR="001477C5" w14:paraId="5A2CEF80" w14:textId="77777777" w:rsidTr="00ED6AA7">
        <w:tc>
          <w:tcPr>
            <w:tcW w:w="4957" w:type="dxa"/>
          </w:tcPr>
          <w:p w14:paraId="0A416B88" w14:textId="77777777" w:rsidR="001477C5" w:rsidRDefault="001477C5" w:rsidP="001477C5">
            <w:r>
              <w:t>Страховий фонд</w:t>
            </w:r>
          </w:p>
        </w:tc>
        <w:tc>
          <w:tcPr>
            <w:tcW w:w="992" w:type="dxa"/>
            <w:vAlign w:val="center"/>
          </w:tcPr>
          <w:p w14:paraId="0AC70605" w14:textId="77777777" w:rsidR="001477C5" w:rsidRDefault="001477C5" w:rsidP="001477C5">
            <w:pPr>
              <w:jc w:val="center"/>
            </w:pPr>
          </w:p>
        </w:tc>
        <w:tc>
          <w:tcPr>
            <w:tcW w:w="1134" w:type="dxa"/>
            <w:vAlign w:val="center"/>
          </w:tcPr>
          <w:p w14:paraId="103E977B" w14:textId="77777777" w:rsidR="001477C5" w:rsidRDefault="001477C5" w:rsidP="001477C5">
            <w:pPr>
              <w:jc w:val="center"/>
            </w:pPr>
          </w:p>
        </w:tc>
        <w:tc>
          <w:tcPr>
            <w:tcW w:w="1276" w:type="dxa"/>
            <w:vAlign w:val="center"/>
          </w:tcPr>
          <w:p w14:paraId="4C45FCDC" w14:textId="77777777" w:rsidR="001477C5" w:rsidRDefault="001477C5" w:rsidP="001477C5">
            <w:pPr>
              <w:jc w:val="center"/>
            </w:pPr>
          </w:p>
        </w:tc>
        <w:tc>
          <w:tcPr>
            <w:tcW w:w="1270" w:type="dxa"/>
            <w:vAlign w:val="center"/>
          </w:tcPr>
          <w:p w14:paraId="34026016" w14:textId="77777777" w:rsidR="001477C5" w:rsidRDefault="001477C5" w:rsidP="001477C5">
            <w:pPr>
              <w:jc w:val="center"/>
            </w:pPr>
          </w:p>
        </w:tc>
      </w:tr>
      <w:tr w:rsidR="001477C5" w14:paraId="0C76FC06" w14:textId="77777777" w:rsidTr="00ED6AA7">
        <w:tc>
          <w:tcPr>
            <w:tcW w:w="4957" w:type="dxa"/>
          </w:tcPr>
          <w:p w14:paraId="08ECF498" w14:textId="77777777" w:rsidR="001477C5" w:rsidRDefault="001477C5" w:rsidP="001477C5">
            <w:r>
              <w:t>Приватні</w:t>
            </w:r>
          </w:p>
        </w:tc>
        <w:tc>
          <w:tcPr>
            <w:tcW w:w="992" w:type="dxa"/>
            <w:vAlign w:val="center"/>
          </w:tcPr>
          <w:p w14:paraId="05701EB3" w14:textId="77777777" w:rsidR="001477C5" w:rsidRDefault="001477C5" w:rsidP="001477C5">
            <w:pPr>
              <w:jc w:val="center"/>
            </w:pPr>
          </w:p>
        </w:tc>
        <w:tc>
          <w:tcPr>
            <w:tcW w:w="1134" w:type="dxa"/>
            <w:vAlign w:val="center"/>
          </w:tcPr>
          <w:p w14:paraId="39566456" w14:textId="77777777" w:rsidR="001477C5" w:rsidRDefault="001477C5" w:rsidP="001477C5">
            <w:pPr>
              <w:jc w:val="center"/>
            </w:pPr>
          </w:p>
        </w:tc>
        <w:tc>
          <w:tcPr>
            <w:tcW w:w="1276" w:type="dxa"/>
            <w:vAlign w:val="center"/>
          </w:tcPr>
          <w:p w14:paraId="425410A2" w14:textId="77777777" w:rsidR="001477C5" w:rsidRDefault="001477C5" w:rsidP="001477C5">
            <w:pPr>
              <w:jc w:val="center"/>
            </w:pPr>
          </w:p>
        </w:tc>
        <w:tc>
          <w:tcPr>
            <w:tcW w:w="1270" w:type="dxa"/>
            <w:vAlign w:val="center"/>
          </w:tcPr>
          <w:p w14:paraId="2E0EE514" w14:textId="77777777" w:rsidR="001477C5" w:rsidRDefault="001477C5" w:rsidP="001477C5">
            <w:pPr>
              <w:jc w:val="center"/>
            </w:pPr>
          </w:p>
        </w:tc>
      </w:tr>
      <w:tr w:rsidR="006D5928" w14:paraId="1730A7A2" w14:textId="77777777" w:rsidTr="00ED6AA7">
        <w:tc>
          <w:tcPr>
            <w:tcW w:w="9629" w:type="dxa"/>
            <w:gridSpan w:val="5"/>
            <w:vAlign w:val="center"/>
          </w:tcPr>
          <w:p w14:paraId="4BAF17CB" w14:textId="77777777" w:rsidR="006D5928" w:rsidRDefault="006D5928" w:rsidP="006D5928">
            <w:pPr>
              <w:jc w:val="center"/>
            </w:pPr>
            <w:r>
              <w:t>Україна (після реформи децентралізації</w:t>
            </w:r>
            <w:r w:rsidR="00972967">
              <w:t xml:space="preserve"> без реформи фінансування</w:t>
            </w:r>
            <w:r>
              <w:t>)</w:t>
            </w:r>
          </w:p>
        </w:tc>
      </w:tr>
      <w:tr w:rsidR="00972967" w14:paraId="1999256A" w14:textId="77777777" w:rsidTr="00ED6AA7">
        <w:tc>
          <w:tcPr>
            <w:tcW w:w="4957" w:type="dxa"/>
          </w:tcPr>
          <w:p w14:paraId="409BA002" w14:textId="77777777" w:rsidR="00972967" w:rsidRDefault="00972967" w:rsidP="00972967">
            <w:r>
              <w:t>Центральний</w:t>
            </w:r>
          </w:p>
        </w:tc>
        <w:tc>
          <w:tcPr>
            <w:tcW w:w="992" w:type="dxa"/>
            <w:vAlign w:val="center"/>
          </w:tcPr>
          <w:p w14:paraId="2D56425F" w14:textId="77777777" w:rsidR="00972967" w:rsidRDefault="00972967" w:rsidP="00972967">
            <w:pPr>
              <w:jc w:val="center"/>
            </w:pPr>
            <w:r>
              <w:t xml:space="preserve">Х </w:t>
            </w:r>
          </w:p>
        </w:tc>
        <w:tc>
          <w:tcPr>
            <w:tcW w:w="1134" w:type="dxa"/>
            <w:vAlign w:val="center"/>
          </w:tcPr>
          <w:p w14:paraId="613D0197" w14:textId="77777777" w:rsidR="00972967" w:rsidRDefault="00972967" w:rsidP="00972967">
            <w:pPr>
              <w:jc w:val="center"/>
            </w:pPr>
            <w:r>
              <w:t xml:space="preserve">Х </w:t>
            </w:r>
          </w:p>
        </w:tc>
        <w:tc>
          <w:tcPr>
            <w:tcW w:w="1276" w:type="dxa"/>
            <w:vAlign w:val="center"/>
          </w:tcPr>
          <w:p w14:paraId="7C72D7D7" w14:textId="77777777" w:rsidR="00972967" w:rsidRDefault="00972967" w:rsidP="00972967">
            <w:pPr>
              <w:jc w:val="center"/>
            </w:pPr>
            <w:r>
              <w:t xml:space="preserve">Х </w:t>
            </w:r>
          </w:p>
        </w:tc>
        <w:tc>
          <w:tcPr>
            <w:tcW w:w="1270" w:type="dxa"/>
            <w:vAlign w:val="center"/>
          </w:tcPr>
          <w:p w14:paraId="5CCF5913" w14:textId="77777777" w:rsidR="00972967" w:rsidRDefault="00972967" w:rsidP="00972967">
            <w:pPr>
              <w:jc w:val="center"/>
            </w:pPr>
          </w:p>
        </w:tc>
      </w:tr>
      <w:tr w:rsidR="00972967" w14:paraId="53DE671D" w14:textId="77777777" w:rsidTr="00ED6AA7">
        <w:tc>
          <w:tcPr>
            <w:tcW w:w="4957" w:type="dxa"/>
          </w:tcPr>
          <w:p w14:paraId="233D227C" w14:textId="77777777" w:rsidR="00972967" w:rsidRDefault="00972967" w:rsidP="00972967">
            <w:r>
              <w:t>Регіони (</w:t>
            </w:r>
            <w:r w:rsidRPr="001477C5">
              <w:rPr>
                <w:i/>
              </w:rPr>
              <w:t>Області</w:t>
            </w:r>
            <w:r>
              <w:t>)</w:t>
            </w:r>
          </w:p>
        </w:tc>
        <w:tc>
          <w:tcPr>
            <w:tcW w:w="992" w:type="dxa"/>
            <w:vAlign w:val="center"/>
          </w:tcPr>
          <w:p w14:paraId="7B60B3C1" w14:textId="77777777" w:rsidR="00972967" w:rsidRDefault="00972967" w:rsidP="00972967">
            <w:pPr>
              <w:jc w:val="center"/>
            </w:pPr>
            <w:r>
              <w:t xml:space="preserve">Х </w:t>
            </w:r>
          </w:p>
        </w:tc>
        <w:tc>
          <w:tcPr>
            <w:tcW w:w="1134" w:type="dxa"/>
            <w:vAlign w:val="center"/>
          </w:tcPr>
          <w:p w14:paraId="47DCE29B" w14:textId="77777777" w:rsidR="00972967" w:rsidRDefault="00972967" w:rsidP="00972967">
            <w:pPr>
              <w:jc w:val="center"/>
            </w:pPr>
            <w:r>
              <w:t xml:space="preserve">Х </w:t>
            </w:r>
          </w:p>
        </w:tc>
        <w:tc>
          <w:tcPr>
            <w:tcW w:w="1276" w:type="dxa"/>
            <w:vAlign w:val="center"/>
          </w:tcPr>
          <w:p w14:paraId="7FEE38EF" w14:textId="77777777" w:rsidR="00972967" w:rsidRDefault="00972967" w:rsidP="00972967">
            <w:pPr>
              <w:jc w:val="center"/>
            </w:pPr>
            <w:r>
              <w:t xml:space="preserve">Х </w:t>
            </w:r>
          </w:p>
        </w:tc>
        <w:tc>
          <w:tcPr>
            <w:tcW w:w="1270" w:type="dxa"/>
            <w:vAlign w:val="center"/>
          </w:tcPr>
          <w:p w14:paraId="710B26DA" w14:textId="77777777" w:rsidR="00972967" w:rsidRDefault="00972967" w:rsidP="00972967">
            <w:pPr>
              <w:jc w:val="center"/>
            </w:pPr>
          </w:p>
        </w:tc>
      </w:tr>
      <w:tr w:rsidR="00972967" w14:paraId="71CCE06C" w14:textId="77777777" w:rsidTr="00ED6AA7">
        <w:tc>
          <w:tcPr>
            <w:tcW w:w="4957" w:type="dxa"/>
          </w:tcPr>
          <w:p w14:paraId="1626AF5C" w14:textId="77777777" w:rsidR="00972967" w:rsidRDefault="00972967" w:rsidP="00972967">
            <w:r>
              <w:t>Райони</w:t>
            </w:r>
          </w:p>
        </w:tc>
        <w:tc>
          <w:tcPr>
            <w:tcW w:w="992" w:type="dxa"/>
            <w:vAlign w:val="center"/>
          </w:tcPr>
          <w:p w14:paraId="65221E82" w14:textId="77777777" w:rsidR="00972967" w:rsidRDefault="00972967" w:rsidP="00972967">
            <w:pPr>
              <w:jc w:val="center"/>
            </w:pPr>
            <w:r>
              <w:t xml:space="preserve">Х </w:t>
            </w:r>
          </w:p>
        </w:tc>
        <w:tc>
          <w:tcPr>
            <w:tcW w:w="1134" w:type="dxa"/>
            <w:vAlign w:val="center"/>
          </w:tcPr>
          <w:p w14:paraId="68F94301" w14:textId="77777777" w:rsidR="00972967" w:rsidRDefault="00972967" w:rsidP="00972967">
            <w:pPr>
              <w:jc w:val="center"/>
            </w:pPr>
            <w:r>
              <w:t xml:space="preserve">Х </w:t>
            </w:r>
          </w:p>
        </w:tc>
        <w:tc>
          <w:tcPr>
            <w:tcW w:w="1276" w:type="dxa"/>
            <w:vAlign w:val="center"/>
          </w:tcPr>
          <w:p w14:paraId="3D8C7F24" w14:textId="77777777" w:rsidR="00972967" w:rsidRDefault="00972967" w:rsidP="00972967">
            <w:pPr>
              <w:jc w:val="center"/>
            </w:pPr>
            <w:r>
              <w:t xml:space="preserve">Х </w:t>
            </w:r>
          </w:p>
        </w:tc>
        <w:tc>
          <w:tcPr>
            <w:tcW w:w="1270" w:type="dxa"/>
            <w:vAlign w:val="center"/>
          </w:tcPr>
          <w:p w14:paraId="51F652A2" w14:textId="77777777" w:rsidR="00972967" w:rsidRDefault="00972967" w:rsidP="00972967">
            <w:pPr>
              <w:jc w:val="center"/>
            </w:pPr>
          </w:p>
        </w:tc>
      </w:tr>
      <w:tr w:rsidR="00972967" w14:paraId="6A00C5BD" w14:textId="77777777" w:rsidTr="00ED6AA7">
        <w:tc>
          <w:tcPr>
            <w:tcW w:w="4957" w:type="dxa"/>
          </w:tcPr>
          <w:p w14:paraId="5BCA8BB0" w14:textId="77777777" w:rsidR="00972967" w:rsidRDefault="00972967" w:rsidP="00972967">
            <w:r>
              <w:t>Громади</w:t>
            </w:r>
          </w:p>
        </w:tc>
        <w:tc>
          <w:tcPr>
            <w:tcW w:w="992" w:type="dxa"/>
            <w:vAlign w:val="center"/>
          </w:tcPr>
          <w:p w14:paraId="045DD3E8" w14:textId="77777777" w:rsidR="00972967" w:rsidRDefault="00972967" w:rsidP="00972967">
            <w:pPr>
              <w:jc w:val="center"/>
            </w:pPr>
            <w:r>
              <w:t xml:space="preserve">Х </w:t>
            </w:r>
          </w:p>
        </w:tc>
        <w:tc>
          <w:tcPr>
            <w:tcW w:w="1134" w:type="dxa"/>
            <w:vAlign w:val="center"/>
          </w:tcPr>
          <w:p w14:paraId="1E970D27" w14:textId="77777777" w:rsidR="00972967" w:rsidRDefault="00972967" w:rsidP="00972967">
            <w:pPr>
              <w:jc w:val="center"/>
            </w:pPr>
            <w:r>
              <w:t xml:space="preserve">Х </w:t>
            </w:r>
          </w:p>
        </w:tc>
        <w:tc>
          <w:tcPr>
            <w:tcW w:w="1276" w:type="dxa"/>
            <w:vAlign w:val="center"/>
          </w:tcPr>
          <w:p w14:paraId="23E0488B" w14:textId="77777777" w:rsidR="00972967" w:rsidRDefault="00972967" w:rsidP="00972967">
            <w:pPr>
              <w:jc w:val="center"/>
            </w:pPr>
          </w:p>
        </w:tc>
        <w:tc>
          <w:tcPr>
            <w:tcW w:w="1270" w:type="dxa"/>
            <w:vAlign w:val="center"/>
          </w:tcPr>
          <w:p w14:paraId="6E4BB8E3" w14:textId="77777777" w:rsidR="00972967" w:rsidRDefault="00972967" w:rsidP="00972967">
            <w:pPr>
              <w:jc w:val="center"/>
            </w:pPr>
            <w:r>
              <w:t xml:space="preserve">Х </w:t>
            </w:r>
          </w:p>
        </w:tc>
      </w:tr>
      <w:tr w:rsidR="00972967" w14:paraId="4BA8D854" w14:textId="77777777" w:rsidTr="00ED6AA7">
        <w:tc>
          <w:tcPr>
            <w:tcW w:w="4957" w:type="dxa"/>
          </w:tcPr>
          <w:p w14:paraId="3AAEC571" w14:textId="77777777" w:rsidR="00972967" w:rsidRDefault="00972967" w:rsidP="00972967">
            <w:r>
              <w:t>Страховий фонд</w:t>
            </w:r>
          </w:p>
        </w:tc>
        <w:tc>
          <w:tcPr>
            <w:tcW w:w="992" w:type="dxa"/>
            <w:vAlign w:val="center"/>
          </w:tcPr>
          <w:p w14:paraId="5DD95B76" w14:textId="77777777" w:rsidR="00972967" w:rsidRDefault="00972967" w:rsidP="00972967">
            <w:pPr>
              <w:jc w:val="center"/>
            </w:pPr>
          </w:p>
        </w:tc>
        <w:tc>
          <w:tcPr>
            <w:tcW w:w="1134" w:type="dxa"/>
            <w:vAlign w:val="center"/>
          </w:tcPr>
          <w:p w14:paraId="7696AEC8" w14:textId="77777777" w:rsidR="00972967" w:rsidRDefault="00972967" w:rsidP="00972967">
            <w:pPr>
              <w:jc w:val="center"/>
            </w:pPr>
          </w:p>
        </w:tc>
        <w:tc>
          <w:tcPr>
            <w:tcW w:w="1276" w:type="dxa"/>
            <w:vAlign w:val="center"/>
          </w:tcPr>
          <w:p w14:paraId="0DBC2499" w14:textId="77777777" w:rsidR="00972967" w:rsidRDefault="00972967" w:rsidP="00972967">
            <w:pPr>
              <w:jc w:val="center"/>
            </w:pPr>
          </w:p>
        </w:tc>
        <w:tc>
          <w:tcPr>
            <w:tcW w:w="1270" w:type="dxa"/>
            <w:vAlign w:val="center"/>
          </w:tcPr>
          <w:p w14:paraId="05D4B177" w14:textId="77777777" w:rsidR="00972967" w:rsidRDefault="00972967" w:rsidP="00972967">
            <w:pPr>
              <w:jc w:val="center"/>
            </w:pPr>
          </w:p>
        </w:tc>
      </w:tr>
      <w:tr w:rsidR="00972967" w14:paraId="4218A638" w14:textId="77777777" w:rsidTr="00ED6AA7">
        <w:tc>
          <w:tcPr>
            <w:tcW w:w="4957" w:type="dxa"/>
          </w:tcPr>
          <w:p w14:paraId="277FEDE7" w14:textId="77777777" w:rsidR="00972967" w:rsidRDefault="00972967" w:rsidP="00972967">
            <w:r>
              <w:t>Приватні</w:t>
            </w:r>
          </w:p>
        </w:tc>
        <w:tc>
          <w:tcPr>
            <w:tcW w:w="992" w:type="dxa"/>
            <w:vAlign w:val="center"/>
          </w:tcPr>
          <w:p w14:paraId="71D67328" w14:textId="77777777" w:rsidR="00972967" w:rsidRDefault="00972967" w:rsidP="00972967">
            <w:pPr>
              <w:jc w:val="center"/>
            </w:pPr>
          </w:p>
        </w:tc>
        <w:tc>
          <w:tcPr>
            <w:tcW w:w="1134" w:type="dxa"/>
            <w:vAlign w:val="center"/>
          </w:tcPr>
          <w:p w14:paraId="4B0CC73B" w14:textId="77777777" w:rsidR="00972967" w:rsidRDefault="00972967" w:rsidP="00972967">
            <w:pPr>
              <w:jc w:val="center"/>
            </w:pPr>
          </w:p>
        </w:tc>
        <w:tc>
          <w:tcPr>
            <w:tcW w:w="1276" w:type="dxa"/>
            <w:vAlign w:val="center"/>
          </w:tcPr>
          <w:p w14:paraId="44440C75" w14:textId="77777777" w:rsidR="00972967" w:rsidRDefault="00972967" w:rsidP="00972967">
            <w:pPr>
              <w:jc w:val="center"/>
            </w:pPr>
          </w:p>
        </w:tc>
        <w:tc>
          <w:tcPr>
            <w:tcW w:w="1270" w:type="dxa"/>
            <w:vAlign w:val="center"/>
          </w:tcPr>
          <w:p w14:paraId="019EBF2C" w14:textId="77777777" w:rsidR="00972967" w:rsidRDefault="00972967" w:rsidP="00972967">
            <w:pPr>
              <w:jc w:val="center"/>
            </w:pPr>
          </w:p>
        </w:tc>
      </w:tr>
      <w:tr w:rsidR="00972967" w14:paraId="09CB3104" w14:textId="77777777" w:rsidTr="00ED6AA7">
        <w:tc>
          <w:tcPr>
            <w:tcW w:w="9629" w:type="dxa"/>
            <w:gridSpan w:val="5"/>
          </w:tcPr>
          <w:p w14:paraId="46AD84C4" w14:textId="77777777" w:rsidR="00972967" w:rsidRDefault="00972967" w:rsidP="00972967">
            <w:pPr>
              <w:jc w:val="center"/>
            </w:pPr>
            <w:r>
              <w:t>Україна (після реформи фінансування)</w:t>
            </w:r>
          </w:p>
        </w:tc>
      </w:tr>
      <w:tr w:rsidR="00972967" w14:paraId="5B462694" w14:textId="77777777" w:rsidTr="00ED6AA7">
        <w:tc>
          <w:tcPr>
            <w:tcW w:w="4957" w:type="dxa"/>
          </w:tcPr>
          <w:p w14:paraId="532429D0" w14:textId="77777777" w:rsidR="00972967" w:rsidRDefault="00972967" w:rsidP="00972967">
            <w:r>
              <w:t>Центральний</w:t>
            </w:r>
          </w:p>
        </w:tc>
        <w:tc>
          <w:tcPr>
            <w:tcW w:w="992" w:type="dxa"/>
            <w:vAlign w:val="center"/>
          </w:tcPr>
          <w:p w14:paraId="2D64F5B8" w14:textId="77777777" w:rsidR="00972967" w:rsidRDefault="00972967" w:rsidP="00972967">
            <w:pPr>
              <w:jc w:val="center"/>
            </w:pPr>
            <w:r>
              <w:t xml:space="preserve">Х </w:t>
            </w:r>
          </w:p>
        </w:tc>
        <w:tc>
          <w:tcPr>
            <w:tcW w:w="1134" w:type="dxa"/>
            <w:vAlign w:val="center"/>
          </w:tcPr>
          <w:p w14:paraId="15334F91" w14:textId="77777777" w:rsidR="00972967" w:rsidRDefault="00972967" w:rsidP="00972967">
            <w:pPr>
              <w:jc w:val="center"/>
            </w:pPr>
            <w:r>
              <w:t xml:space="preserve">Х </w:t>
            </w:r>
          </w:p>
        </w:tc>
        <w:tc>
          <w:tcPr>
            <w:tcW w:w="1276" w:type="dxa"/>
            <w:vAlign w:val="center"/>
          </w:tcPr>
          <w:p w14:paraId="6C80183C" w14:textId="77777777" w:rsidR="00972967" w:rsidRDefault="00972967" w:rsidP="00972967">
            <w:pPr>
              <w:jc w:val="center"/>
            </w:pPr>
            <w:r>
              <w:t xml:space="preserve">Х </w:t>
            </w:r>
          </w:p>
        </w:tc>
        <w:tc>
          <w:tcPr>
            <w:tcW w:w="1270" w:type="dxa"/>
            <w:vAlign w:val="center"/>
          </w:tcPr>
          <w:p w14:paraId="092E963C" w14:textId="77777777" w:rsidR="00972967" w:rsidRDefault="00972967" w:rsidP="00972967">
            <w:pPr>
              <w:jc w:val="center"/>
            </w:pPr>
          </w:p>
        </w:tc>
      </w:tr>
      <w:tr w:rsidR="00972967" w14:paraId="2E0D7451" w14:textId="77777777" w:rsidTr="00ED6AA7">
        <w:tc>
          <w:tcPr>
            <w:tcW w:w="4957" w:type="dxa"/>
          </w:tcPr>
          <w:p w14:paraId="2D42F11B" w14:textId="77777777" w:rsidR="00972967" w:rsidRDefault="00972967" w:rsidP="00972967">
            <w:r>
              <w:t>Регіони (</w:t>
            </w:r>
            <w:r w:rsidRPr="001477C5">
              <w:rPr>
                <w:i/>
              </w:rPr>
              <w:t>Області</w:t>
            </w:r>
            <w:r>
              <w:t>)</w:t>
            </w:r>
          </w:p>
        </w:tc>
        <w:tc>
          <w:tcPr>
            <w:tcW w:w="992" w:type="dxa"/>
            <w:vAlign w:val="center"/>
          </w:tcPr>
          <w:p w14:paraId="7C285D84" w14:textId="77777777" w:rsidR="00972967" w:rsidRDefault="00972967" w:rsidP="00972967">
            <w:pPr>
              <w:jc w:val="center"/>
            </w:pPr>
          </w:p>
        </w:tc>
        <w:tc>
          <w:tcPr>
            <w:tcW w:w="1134" w:type="dxa"/>
            <w:vAlign w:val="center"/>
          </w:tcPr>
          <w:p w14:paraId="33988073" w14:textId="77777777" w:rsidR="00972967" w:rsidRDefault="00972967" w:rsidP="00972967">
            <w:pPr>
              <w:jc w:val="center"/>
            </w:pPr>
          </w:p>
        </w:tc>
        <w:tc>
          <w:tcPr>
            <w:tcW w:w="1276" w:type="dxa"/>
            <w:vAlign w:val="center"/>
          </w:tcPr>
          <w:p w14:paraId="7C847A0A" w14:textId="77777777" w:rsidR="00972967" w:rsidRDefault="00972967" w:rsidP="00972967">
            <w:pPr>
              <w:jc w:val="center"/>
            </w:pPr>
            <w:r>
              <w:t xml:space="preserve">Х </w:t>
            </w:r>
          </w:p>
        </w:tc>
        <w:tc>
          <w:tcPr>
            <w:tcW w:w="1270" w:type="dxa"/>
            <w:vAlign w:val="center"/>
          </w:tcPr>
          <w:p w14:paraId="014ACFAB" w14:textId="77777777" w:rsidR="00972967" w:rsidRDefault="00972967" w:rsidP="00972967">
            <w:pPr>
              <w:jc w:val="center"/>
            </w:pPr>
          </w:p>
        </w:tc>
      </w:tr>
      <w:tr w:rsidR="00972967" w14:paraId="6D4EA2E4" w14:textId="77777777" w:rsidTr="00ED6AA7">
        <w:tc>
          <w:tcPr>
            <w:tcW w:w="4957" w:type="dxa"/>
          </w:tcPr>
          <w:p w14:paraId="55340CCF" w14:textId="77777777" w:rsidR="00972967" w:rsidRDefault="00972967" w:rsidP="00972967">
            <w:r>
              <w:t>Райони (</w:t>
            </w:r>
            <w:r>
              <w:rPr>
                <w:i/>
              </w:rPr>
              <w:t>Районні</w:t>
            </w:r>
            <w:r w:rsidRPr="001477C5">
              <w:rPr>
                <w:i/>
              </w:rPr>
              <w:t xml:space="preserve"> ради</w:t>
            </w:r>
            <w:r>
              <w:t>)</w:t>
            </w:r>
          </w:p>
        </w:tc>
        <w:tc>
          <w:tcPr>
            <w:tcW w:w="992" w:type="dxa"/>
            <w:vAlign w:val="center"/>
          </w:tcPr>
          <w:p w14:paraId="48DC4E2F" w14:textId="77777777" w:rsidR="00972967" w:rsidRDefault="00972967" w:rsidP="00972967">
            <w:pPr>
              <w:jc w:val="center"/>
            </w:pPr>
          </w:p>
        </w:tc>
        <w:tc>
          <w:tcPr>
            <w:tcW w:w="1134" w:type="dxa"/>
            <w:vAlign w:val="center"/>
          </w:tcPr>
          <w:p w14:paraId="46B02F4D" w14:textId="77777777" w:rsidR="00972967" w:rsidRDefault="00972967" w:rsidP="00972967">
            <w:pPr>
              <w:jc w:val="center"/>
            </w:pPr>
          </w:p>
        </w:tc>
        <w:tc>
          <w:tcPr>
            <w:tcW w:w="1276" w:type="dxa"/>
            <w:vAlign w:val="center"/>
          </w:tcPr>
          <w:p w14:paraId="701368B9" w14:textId="77777777" w:rsidR="00972967" w:rsidRDefault="00972967" w:rsidP="00972967">
            <w:pPr>
              <w:jc w:val="center"/>
            </w:pPr>
            <w:r>
              <w:t xml:space="preserve">Х </w:t>
            </w:r>
          </w:p>
        </w:tc>
        <w:tc>
          <w:tcPr>
            <w:tcW w:w="1270" w:type="dxa"/>
            <w:vAlign w:val="center"/>
          </w:tcPr>
          <w:p w14:paraId="33A5738C" w14:textId="77777777" w:rsidR="00972967" w:rsidRDefault="00972967" w:rsidP="00972967">
            <w:pPr>
              <w:jc w:val="center"/>
            </w:pPr>
          </w:p>
        </w:tc>
      </w:tr>
      <w:tr w:rsidR="00972967" w14:paraId="7756BA91" w14:textId="77777777" w:rsidTr="00ED6AA7">
        <w:tc>
          <w:tcPr>
            <w:tcW w:w="4957" w:type="dxa"/>
          </w:tcPr>
          <w:p w14:paraId="7CCBE748" w14:textId="77777777" w:rsidR="00972967" w:rsidRDefault="00972967" w:rsidP="00972967">
            <w:r>
              <w:t>Громади</w:t>
            </w:r>
          </w:p>
        </w:tc>
        <w:tc>
          <w:tcPr>
            <w:tcW w:w="992" w:type="dxa"/>
            <w:vAlign w:val="center"/>
          </w:tcPr>
          <w:p w14:paraId="3574A912" w14:textId="77777777" w:rsidR="00972967" w:rsidRDefault="00972967" w:rsidP="00972967">
            <w:pPr>
              <w:jc w:val="center"/>
            </w:pPr>
          </w:p>
        </w:tc>
        <w:tc>
          <w:tcPr>
            <w:tcW w:w="1134" w:type="dxa"/>
            <w:vAlign w:val="center"/>
          </w:tcPr>
          <w:p w14:paraId="5786F161" w14:textId="77777777" w:rsidR="00972967" w:rsidRDefault="00972967" w:rsidP="00972967">
            <w:pPr>
              <w:jc w:val="center"/>
            </w:pPr>
          </w:p>
        </w:tc>
        <w:tc>
          <w:tcPr>
            <w:tcW w:w="1276" w:type="dxa"/>
            <w:vAlign w:val="center"/>
          </w:tcPr>
          <w:p w14:paraId="6EE6E7E8" w14:textId="77777777" w:rsidR="00972967" w:rsidRDefault="00972967" w:rsidP="00972967">
            <w:pPr>
              <w:jc w:val="center"/>
            </w:pPr>
          </w:p>
        </w:tc>
        <w:tc>
          <w:tcPr>
            <w:tcW w:w="1270" w:type="dxa"/>
            <w:vAlign w:val="center"/>
          </w:tcPr>
          <w:p w14:paraId="2B5BAF09" w14:textId="77777777" w:rsidR="00972967" w:rsidRDefault="00972967" w:rsidP="00972967">
            <w:pPr>
              <w:jc w:val="center"/>
            </w:pPr>
            <w:r>
              <w:t xml:space="preserve">Х </w:t>
            </w:r>
          </w:p>
        </w:tc>
      </w:tr>
      <w:tr w:rsidR="00972967" w14:paraId="06538933" w14:textId="77777777" w:rsidTr="00ED6AA7">
        <w:tc>
          <w:tcPr>
            <w:tcW w:w="4957" w:type="dxa"/>
          </w:tcPr>
          <w:p w14:paraId="554045C2" w14:textId="77777777" w:rsidR="00972967" w:rsidRDefault="00972967" w:rsidP="00972967">
            <w:r>
              <w:t>Національна агенція (на рівні областей)</w:t>
            </w:r>
          </w:p>
        </w:tc>
        <w:tc>
          <w:tcPr>
            <w:tcW w:w="992" w:type="dxa"/>
            <w:vAlign w:val="center"/>
          </w:tcPr>
          <w:p w14:paraId="1DC111B3" w14:textId="77777777" w:rsidR="00972967" w:rsidRDefault="00972967" w:rsidP="00972967">
            <w:pPr>
              <w:jc w:val="center"/>
            </w:pPr>
          </w:p>
        </w:tc>
        <w:tc>
          <w:tcPr>
            <w:tcW w:w="1134" w:type="dxa"/>
            <w:vAlign w:val="center"/>
          </w:tcPr>
          <w:p w14:paraId="12D0BAED" w14:textId="77777777" w:rsidR="00972967" w:rsidRDefault="00972967" w:rsidP="00972967">
            <w:pPr>
              <w:jc w:val="center"/>
            </w:pPr>
            <w:r>
              <w:t xml:space="preserve">Х </w:t>
            </w:r>
          </w:p>
        </w:tc>
        <w:tc>
          <w:tcPr>
            <w:tcW w:w="1276" w:type="dxa"/>
            <w:vAlign w:val="center"/>
          </w:tcPr>
          <w:p w14:paraId="6C9FC0BB" w14:textId="77777777" w:rsidR="00972967" w:rsidRDefault="00972967" w:rsidP="00972967">
            <w:pPr>
              <w:jc w:val="center"/>
            </w:pPr>
          </w:p>
        </w:tc>
        <w:tc>
          <w:tcPr>
            <w:tcW w:w="1270" w:type="dxa"/>
            <w:vAlign w:val="center"/>
          </w:tcPr>
          <w:p w14:paraId="47B1AD56" w14:textId="77777777" w:rsidR="00972967" w:rsidRDefault="00972967" w:rsidP="00972967">
            <w:pPr>
              <w:jc w:val="center"/>
            </w:pPr>
          </w:p>
        </w:tc>
      </w:tr>
      <w:tr w:rsidR="00972967" w14:paraId="36E5A5BB" w14:textId="77777777" w:rsidTr="00ED6AA7">
        <w:tc>
          <w:tcPr>
            <w:tcW w:w="4957" w:type="dxa"/>
          </w:tcPr>
          <w:p w14:paraId="4DC30B8B" w14:textId="77777777" w:rsidR="00972967" w:rsidRDefault="00972967" w:rsidP="00972967">
            <w:r>
              <w:t>Приватні</w:t>
            </w:r>
          </w:p>
        </w:tc>
        <w:tc>
          <w:tcPr>
            <w:tcW w:w="992" w:type="dxa"/>
            <w:vAlign w:val="center"/>
          </w:tcPr>
          <w:p w14:paraId="4E9EBF2B" w14:textId="77777777" w:rsidR="00972967" w:rsidRDefault="00972967" w:rsidP="00972967">
            <w:pPr>
              <w:jc w:val="center"/>
            </w:pPr>
          </w:p>
        </w:tc>
        <w:tc>
          <w:tcPr>
            <w:tcW w:w="1134" w:type="dxa"/>
            <w:vAlign w:val="center"/>
          </w:tcPr>
          <w:p w14:paraId="3B18AF23" w14:textId="77777777" w:rsidR="00972967" w:rsidRDefault="00972967" w:rsidP="00972967">
            <w:pPr>
              <w:jc w:val="center"/>
            </w:pPr>
          </w:p>
        </w:tc>
        <w:tc>
          <w:tcPr>
            <w:tcW w:w="1276" w:type="dxa"/>
            <w:vAlign w:val="center"/>
          </w:tcPr>
          <w:p w14:paraId="3D039560" w14:textId="77777777" w:rsidR="00972967" w:rsidRDefault="00972967" w:rsidP="00972967">
            <w:pPr>
              <w:jc w:val="center"/>
            </w:pPr>
            <w:r>
              <w:t xml:space="preserve">Х </w:t>
            </w:r>
          </w:p>
        </w:tc>
        <w:tc>
          <w:tcPr>
            <w:tcW w:w="1270" w:type="dxa"/>
            <w:vAlign w:val="center"/>
          </w:tcPr>
          <w:p w14:paraId="4D865E8A" w14:textId="77777777" w:rsidR="00972967" w:rsidRDefault="00972967" w:rsidP="00972967">
            <w:pPr>
              <w:jc w:val="center"/>
            </w:pPr>
            <w:r>
              <w:t xml:space="preserve">Х </w:t>
            </w:r>
          </w:p>
        </w:tc>
      </w:tr>
      <w:tr w:rsidR="00972967" w14:paraId="1110A472" w14:textId="77777777" w:rsidTr="00ED6AA7">
        <w:tc>
          <w:tcPr>
            <w:tcW w:w="4957" w:type="dxa"/>
          </w:tcPr>
          <w:p w14:paraId="2313C95B" w14:textId="77777777" w:rsidR="00972967" w:rsidRDefault="00972967" w:rsidP="00972967"/>
        </w:tc>
        <w:tc>
          <w:tcPr>
            <w:tcW w:w="992" w:type="dxa"/>
            <w:vAlign w:val="center"/>
          </w:tcPr>
          <w:p w14:paraId="49207A68" w14:textId="77777777" w:rsidR="00972967" w:rsidRDefault="00972967" w:rsidP="00972967">
            <w:pPr>
              <w:jc w:val="center"/>
            </w:pPr>
          </w:p>
        </w:tc>
        <w:tc>
          <w:tcPr>
            <w:tcW w:w="1134" w:type="dxa"/>
            <w:vAlign w:val="center"/>
          </w:tcPr>
          <w:p w14:paraId="7E04B328" w14:textId="77777777" w:rsidR="00972967" w:rsidRDefault="00972967" w:rsidP="00972967">
            <w:pPr>
              <w:jc w:val="center"/>
            </w:pPr>
          </w:p>
        </w:tc>
        <w:tc>
          <w:tcPr>
            <w:tcW w:w="1276" w:type="dxa"/>
            <w:vAlign w:val="center"/>
          </w:tcPr>
          <w:p w14:paraId="1559FB65" w14:textId="77777777" w:rsidR="00972967" w:rsidRDefault="00972967" w:rsidP="00972967">
            <w:pPr>
              <w:jc w:val="center"/>
            </w:pPr>
          </w:p>
        </w:tc>
        <w:tc>
          <w:tcPr>
            <w:tcW w:w="1270" w:type="dxa"/>
            <w:vAlign w:val="center"/>
          </w:tcPr>
          <w:p w14:paraId="380E20E4" w14:textId="77777777" w:rsidR="00972967" w:rsidRDefault="00972967" w:rsidP="00972967">
            <w:pPr>
              <w:jc w:val="center"/>
            </w:pPr>
          </w:p>
        </w:tc>
      </w:tr>
    </w:tbl>
    <w:p w14:paraId="4681662E" w14:textId="77777777" w:rsidR="004748E5" w:rsidRDefault="000060BF" w:rsidP="005E0805">
      <w:pPr>
        <w:spacing w:before="240"/>
        <w:jc w:val="both"/>
      </w:pPr>
      <w:r>
        <w:t>Ключовим завданням уряду України є разом з реформою децентралізації здійснити докорінну реформу фінансування охорони здоров’я, з якою Україна запізнилася на два десятки років.</w:t>
      </w:r>
      <w:r w:rsidR="00144F76">
        <w:t xml:space="preserve"> Під час децентралізації державні функції в охороні здоров’я у їх нинішньому розумінні не повинні передаватися на місця. Натомість, децентралізацію слід використати для створення нових функцій та нових інституцій в системі фінансування та надання послуг в охороні здоров’я. </w:t>
      </w:r>
    </w:p>
    <w:p w14:paraId="6D39D876" w14:textId="77777777" w:rsidR="005E5943" w:rsidRDefault="005E5943" w:rsidP="00F015A1">
      <w:pPr>
        <w:pStyle w:val="1"/>
      </w:pPr>
      <w:r w:rsidRPr="005E5943">
        <w:t xml:space="preserve">Приклад організації </w:t>
      </w:r>
      <w:r w:rsidR="00EF4DAC">
        <w:t xml:space="preserve">фінансування </w:t>
      </w:r>
      <w:r w:rsidRPr="005E5943">
        <w:t>медичних послуг в регіоні</w:t>
      </w:r>
    </w:p>
    <w:p w14:paraId="5F321A55" w14:textId="0F3868E9" w:rsidR="00F95A3C" w:rsidRDefault="00194B46" w:rsidP="00194B46">
      <w:pPr>
        <w:jc w:val="both"/>
      </w:pPr>
      <w:r>
        <w:t>Переваги системи «єдиного платника», наприклад у вигляді н</w:t>
      </w:r>
      <w:r w:rsidR="000C2E5F">
        <w:t>езалежн</w:t>
      </w:r>
      <w:r>
        <w:t>ої</w:t>
      </w:r>
      <w:r w:rsidR="000C2E5F">
        <w:t xml:space="preserve"> агенці</w:t>
      </w:r>
      <w:r>
        <w:t>ї</w:t>
      </w:r>
      <w:r w:rsidR="001209A5">
        <w:t xml:space="preserve"> з фінансування</w:t>
      </w:r>
      <w:r w:rsidR="000C2E5F">
        <w:t>, відділення якої розташован</w:t>
      </w:r>
      <w:r>
        <w:t>і</w:t>
      </w:r>
      <w:r w:rsidR="000C2E5F">
        <w:t xml:space="preserve"> на рівні області має </w:t>
      </w:r>
      <w:r w:rsidR="00BF0096">
        <w:t>ряд беззаперечних переваг</w:t>
      </w:r>
      <w:r>
        <w:t>, які легко спостерігати на прикладі конкретних регіонів</w:t>
      </w:r>
      <w:r w:rsidR="00BF0096">
        <w:t xml:space="preserve">. </w:t>
      </w:r>
    </w:p>
    <w:p w14:paraId="3DBBBDDE" w14:textId="54A4D6E3" w:rsidR="00352E34" w:rsidRDefault="002E69E9" w:rsidP="00846A58">
      <w:pPr>
        <w:jc w:val="both"/>
      </w:pPr>
      <w:r>
        <w:t>Основною перевагою є те, що л</w:t>
      </w:r>
      <w:r w:rsidR="00F95A3C">
        <w:t xml:space="preserve">ише на рівні області замовник послуг може оцінити </w:t>
      </w:r>
      <w:r w:rsidR="00423E58">
        <w:t>особливості природного маршрут</w:t>
      </w:r>
      <w:r>
        <w:t>у</w:t>
      </w:r>
      <w:r w:rsidR="00423E58">
        <w:t xml:space="preserve"> пацієнтів та планувати закупівлю послуг на рівні</w:t>
      </w:r>
      <w:r w:rsidR="008C7F10">
        <w:t xml:space="preserve"> всього циклу медичної допомоги</w:t>
      </w:r>
      <w:r>
        <w:t xml:space="preserve">. Більше того, він зможе робити це у ефективний спосіб, маючи можливість робити вибір між медичними закладами та впливати на політику місцевої влади.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3876"/>
        <w:gridCol w:w="1405"/>
      </w:tblGrid>
      <w:tr w:rsidR="00A95347" w:rsidRPr="001D48FA" w14:paraId="79581C90" w14:textId="77777777" w:rsidTr="001209A5">
        <w:trPr>
          <w:trHeight w:val="330"/>
        </w:trPr>
        <w:tc>
          <w:tcPr>
            <w:tcW w:w="9629" w:type="dxa"/>
            <w:gridSpan w:val="3"/>
            <w:tcBorders>
              <w:top w:val="nil"/>
              <w:left w:val="nil"/>
              <w:right w:val="nil"/>
            </w:tcBorders>
            <w:vAlign w:val="center"/>
          </w:tcPr>
          <w:p w14:paraId="30F9C71B" w14:textId="328AB721" w:rsidR="00A95347" w:rsidRPr="00B633F6" w:rsidRDefault="00A95347" w:rsidP="00B633F6">
            <w:pPr>
              <w:spacing w:after="0" w:line="240" w:lineRule="auto"/>
              <w:rPr>
                <w:rFonts w:ascii="Segoe UI" w:eastAsia="Times New Roman" w:hAnsi="Segoe UI" w:cs="Segoe UI"/>
                <w:color w:val="000000"/>
                <w:sz w:val="20"/>
                <w:szCs w:val="16"/>
                <w:lang w:eastAsia="uk-UA"/>
              </w:rPr>
            </w:pPr>
            <w:r w:rsidRPr="00201460">
              <w:rPr>
                <w:i/>
                <w:sz w:val="20"/>
              </w:rPr>
              <w:t xml:space="preserve">Таблиця 4. </w:t>
            </w:r>
            <w:r w:rsidR="00201460" w:rsidRPr="00201460">
              <w:rPr>
                <w:i/>
                <w:sz w:val="20"/>
              </w:rPr>
              <w:t>«Погляд» незалежного замовника на рівні області. Гіпотетичний приклад, Черкаська область</w:t>
            </w:r>
            <w:r w:rsidR="00895D7B">
              <w:rPr>
                <w:rStyle w:val="a6"/>
                <w:i/>
                <w:sz w:val="20"/>
              </w:rPr>
              <w:footnoteReference w:id="12"/>
            </w:r>
            <w:r w:rsidR="00895D7B">
              <w:rPr>
                <w:i/>
                <w:sz w:val="20"/>
              </w:rPr>
              <w:t>.</w:t>
            </w:r>
          </w:p>
        </w:tc>
      </w:tr>
      <w:tr w:rsidR="00846A58" w:rsidRPr="001D48FA" w14:paraId="7E2D9A09" w14:textId="77777777" w:rsidTr="00A95347">
        <w:trPr>
          <w:trHeight w:val="330"/>
        </w:trPr>
        <w:tc>
          <w:tcPr>
            <w:tcW w:w="4339" w:type="dxa"/>
            <w:vMerge w:val="restart"/>
            <w:tcBorders>
              <w:top w:val="single" w:sz="4" w:space="0" w:color="auto"/>
              <w:left w:val="single" w:sz="4" w:space="0" w:color="auto"/>
              <w:right w:val="single" w:sz="4" w:space="0" w:color="auto"/>
            </w:tcBorders>
            <w:vAlign w:val="center"/>
          </w:tcPr>
          <w:p w14:paraId="666FC1F1" w14:textId="77777777" w:rsidR="00846A58" w:rsidRPr="00B633F6" w:rsidRDefault="008C11A4" w:rsidP="00846A58">
            <w:pPr>
              <w:spacing w:after="0" w:line="240" w:lineRule="auto"/>
              <w:jc w:val="center"/>
              <w:rPr>
                <w:rFonts w:ascii="Segoe UI" w:eastAsia="Times New Roman" w:hAnsi="Segoe UI" w:cs="Segoe UI"/>
                <w:color w:val="000000"/>
                <w:sz w:val="20"/>
                <w:szCs w:val="16"/>
                <w:lang w:eastAsia="uk-UA"/>
              </w:rPr>
            </w:pPr>
            <w:r>
              <w:rPr>
                <w:noProof/>
                <w:lang w:eastAsia="uk-UA"/>
              </w:rPr>
              <mc:AlternateContent>
                <mc:Choice Requires="wps">
                  <w:drawing>
                    <wp:anchor distT="0" distB="0" distL="114300" distR="114300" simplePos="0" relativeHeight="251659264" behindDoc="0" locked="0" layoutInCell="1" allowOverlap="1" wp14:anchorId="304831A2" wp14:editId="5CA4D8C9">
                      <wp:simplePos x="0" y="0"/>
                      <wp:positionH relativeFrom="column">
                        <wp:posOffset>1374775</wp:posOffset>
                      </wp:positionH>
                      <wp:positionV relativeFrom="paragraph">
                        <wp:posOffset>694690</wp:posOffset>
                      </wp:positionV>
                      <wp:extent cx="1162050" cy="1162050"/>
                      <wp:effectExtent l="0" t="0" r="0" b="0"/>
                      <wp:wrapNone/>
                      <wp:docPr id="6" name="Овал 6"/>
                      <wp:cNvGraphicFramePr/>
                      <a:graphic xmlns:a="http://schemas.openxmlformats.org/drawingml/2006/main">
                        <a:graphicData uri="http://schemas.microsoft.com/office/word/2010/wordprocessingShape">
                          <wps:wsp>
                            <wps:cNvSpPr/>
                            <wps:spPr>
                              <a:xfrm>
                                <a:off x="0" y="0"/>
                                <a:ext cx="1162050" cy="1162050"/>
                              </a:xfrm>
                              <a:prstGeom prst="ellipse">
                                <a:avLst/>
                              </a:prstGeom>
                              <a:solidFill>
                                <a:srgbClr val="C00000">
                                  <a:alpha val="50196"/>
                                </a:srgb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610C17" id="Овал 6" o:spid="_x0000_s1026" style="position:absolute;margin-left:108.25pt;margin-top:54.7pt;width:91.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" fillcolor="#c00000" stroked="f" strokeweight="1pt">
                      <v:fill opacity="32896f"/>
                      <v:stroke joinstyle="miter"/>
                    </v:oval>
                  </w:pict>
                </mc:Fallback>
              </mc:AlternateContent>
            </w:r>
            <w:r w:rsidR="00846A58">
              <w:rPr>
                <w:noProof/>
                <w:lang w:eastAsia="uk-UA"/>
              </w:rPr>
              <w:drawing>
                <wp:inline distT="0" distB="0" distL="0" distR="0" wp14:anchorId="3B1D750E" wp14:editId="74207259">
                  <wp:extent cx="2619375" cy="2588895"/>
                  <wp:effectExtent l="0" t="0" r="9525" b="1905"/>
                  <wp:docPr id="2" name="Рисунок 2" descr="http://texty.org.ua/action/file/download?file_guid=6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y.org.ua/action/file/download?file_guid=60091"/>
                          <pic:cNvPicPr>
                            <a:picLocks noChangeAspect="1" noChangeArrowheads="1"/>
                          </pic:cNvPicPr>
                        </pic:nvPicPr>
                        <pic:blipFill rotWithShape="1">
                          <a:blip r:embed="rId12">
                            <a:extLst>
                              <a:ext uri="{28A0092B-C50C-407E-A947-70E740481C1C}">
                                <a14:useLocalDpi xmlns:a14="http://schemas.microsoft.com/office/drawing/2010/main" val="0"/>
                              </a:ext>
                            </a:extLst>
                          </a:blip>
                          <a:srcRect l="42005" t="33164" r="40996" b="44180"/>
                          <a:stretch/>
                        </pic:blipFill>
                        <pic:spPr bwMode="auto">
                          <a:xfrm>
                            <a:off x="0" y="0"/>
                            <a:ext cx="2619375" cy="25888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C7DB1C" w14:textId="329E392E" w:rsidR="00624CEA" w:rsidRPr="00B633F6" w:rsidRDefault="00624CEA" w:rsidP="00B633F6">
            <w:pPr>
              <w:spacing w:after="0" w:line="240" w:lineRule="auto"/>
              <w:rPr>
                <w:rFonts w:ascii="Segoe UI" w:eastAsia="Times New Roman" w:hAnsi="Segoe UI" w:cs="Segoe UI"/>
                <w:color w:val="000000"/>
                <w:sz w:val="20"/>
                <w:szCs w:val="16"/>
                <w:lang w:eastAsia="uk-UA"/>
              </w:rPr>
            </w:pPr>
            <w:r>
              <w:rPr>
                <w:rFonts w:ascii="Segoe UI" w:eastAsia="Times New Roman" w:hAnsi="Segoe UI" w:cs="Segoe UI"/>
                <w:color w:val="000000"/>
                <w:sz w:val="20"/>
                <w:szCs w:val="16"/>
                <w:lang w:eastAsia="uk-UA"/>
              </w:rPr>
              <w:t>Послуги з гострого та відновного лікування при інсульті</w:t>
            </w:r>
            <w:r w:rsidR="00895D7B">
              <w:rPr>
                <w:rFonts w:ascii="Segoe UI" w:eastAsia="Times New Roman" w:hAnsi="Segoe UI" w:cs="Segoe UI"/>
                <w:color w:val="000000"/>
                <w:sz w:val="20"/>
                <w:szCs w:val="16"/>
                <w:lang w:eastAsia="uk-UA"/>
              </w:rPr>
              <w:t>.</w:t>
            </w:r>
          </w:p>
        </w:tc>
      </w:tr>
      <w:tr w:rsidR="00846A58" w:rsidRPr="001D48FA" w14:paraId="3EE98B3E" w14:textId="77777777" w:rsidTr="00A95347">
        <w:trPr>
          <w:trHeight w:val="330"/>
        </w:trPr>
        <w:tc>
          <w:tcPr>
            <w:tcW w:w="4339" w:type="dxa"/>
            <w:vMerge/>
            <w:tcBorders>
              <w:left w:val="single" w:sz="4" w:space="0" w:color="auto"/>
              <w:right w:val="single" w:sz="4" w:space="0" w:color="auto"/>
            </w:tcBorders>
          </w:tcPr>
          <w:p w14:paraId="367B3572" w14:textId="77777777" w:rsidR="00846A58" w:rsidRPr="001D48FA" w:rsidRDefault="00846A58" w:rsidP="001D48FA">
            <w:pPr>
              <w:spacing w:after="0" w:line="240" w:lineRule="auto"/>
              <w:rPr>
                <w:rFonts w:ascii="Segoe UI" w:eastAsia="Times New Roman" w:hAnsi="Segoe UI" w:cs="Segoe UI"/>
                <w:color w:val="000000"/>
                <w:lang w:eastAsia="uk-UA"/>
              </w:rPr>
            </w:pPr>
          </w:p>
        </w:tc>
        <w:tc>
          <w:tcPr>
            <w:tcW w:w="3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E18BA" w14:textId="77777777" w:rsidR="00846A58" w:rsidRPr="001D48FA" w:rsidRDefault="00846A58" w:rsidP="001D48FA">
            <w:pPr>
              <w:spacing w:after="0" w:line="240" w:lineRule="auto"/>
              <w:rPr>
                <w:rFonts w:ascii="Segoe UI" w:eastAsia="Times New Roman" w:hAnsi="Segoe UI" w:cs="Segoe UI"/>
                <w:color w:val="000000"/>
                <w:lang w:eastAsia="uk-UA"/>
              </w:rPr>
            </w:pP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767E5" w14:textId="77777777" w:rsidR="00846A58" w:rsidRPr="001D48FA" w:rsidRDefault="00846A58" w:rsidP="001D48FA">
            <w:pPr>
              <w:spacing w:after="0" w:line="240" w:lineRule="auto"/>
              <w:jc w:val="center"/>
              <w:rPr>
                <w:rFonts w:ascii="Segoe UI" w:eastAsia="Times New Roman" w:hAnsi="Segoe UI" w:cs="Segoe UI"/>
                <w:color w:val="000000"/>
                <w:sz w:val="16"/>
                <w:szCs w:val="16"/>
                <w:lang w:eastAsia="uk-UA"/>
              </w:rPr>
            </w:pPr>
            <w:r w:rsidRPr="001D48FA">
              <w:rPr>
                <w:rFonts w:ascii="Segoe UI" w:eastAsia="Times New Roman" w:hAnsi="Segoe UI" w:cs="Segoe UI"/>
                <w:color w:val="000000"/>
                <w:sz w:val="16"/>
                <w:szCs w:val="16"/>
                <w:lang w:eastAsia="uk-UA"/>
              </w:rPr>
              <w:t>Неврологічних ліжок</w:t>
            </w:r>
          </w:p>
        </w:tc>
      </w:tr>
      <w:tr w:rsidR="00846A58" w:rsidRPr="001D48FA" w14:paraId="42EBDE18" w14:textId="77777777" w:rsidTr="00A95347">
        <w:trPr>
          <w:trHeight w:val="330"/>
        </w:trPr>
        <w:tc>
          <w:tcPr>
            <w:tcW w:w="4339" w:type="dxa"/>
            <w:vMerge/>
            <w:tcBorders>
              <w:left w:val="single" w:sz="4" w:space="0" w:color="auto"/>
              <w:right w:val="single" w:sz="4" w:space="0" w:color="auto"/>
            </w:tcBorders>
          </w:tcPr>
          <w:p w14:paraId="208F9534" w14:textId="77777777" w:rsidR="00846A58" w:rsidRPr="00D67184" w:rsidRDefault="00846A58" w:rsidP="001D48FA">
            <w:pPr>
              <w:spacing w:after="0" w:line="240" w:lineRule="auto"/>
              <w:rPr>
                <w:rFonts w:ascii="Segoe UI" w:eastAsia="Times New Roman" w:hAnsi="Segoe UI" w:cs="Segoe UI"/>
                <w:color w:val="000000"/>
                <w:sz w:val="20"/>
                <w:lang w:eastAsia="uk-UA"/>
              </w:rPr>
            </w:pPr>
          </w:p>
        </w:tc>
        <w:tc>
          <w:tcPr>
            <w:tcW w:w="3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BB0E6" w14:textId="77777777" w:rsidR="00846A58" w:rsidRPr="001D48FA" w:rsidRDefault="00846A58" w:rsidP="001D48FA">
            <w:pPr>
              <w:spacing w:after="0" w:line="240" w:lineRule="auto"/>
              <w:rPr>
                <w:rFonts w:ascii="Segoe UI" w:eastAsia="Times New Roman" w:hAnsi="Segoe UI" w:cs="Segoe UI"/>
                <w:color w:val="000000"/>
                <w:sz w:val="20"/>
                <w:lang w:eastAsia="uk-UA"/>
              </w:rPr>
            </w:pPr>
            <w:r w:rsidRPr="00D67184">
              <w:rPr>
                <w:rFonts w:ascii="Segoe UI" w:eastAsia="Times New Roman" w:hAnsi="Segoe UI" w:cs="Segoe UI"/>
                <w:color w:val="000000"/>
                <w:sz w:val="20"/>
                <w:lang w:eastAsia="uk-UA"/>
              </w:rPr>
              <w:t>Черкаська обласна лікарня*</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E4C8F" w14:textId="77777777" w:rsidR="00846A58" w:rsidRPr="001D48FA" w:rsidRDefault="00846A58" w:rsidP="001D48FA">
            <w:pPr>
              <w:spacing w:after="0" w:line="240" w:lineRule="auto"/>
              <w:jc w:val="center"/>
              <w:rPr>
                <w:rFonts w:ascii="Segoe UI" w:eastAsia="Times New Roman" w:hAnsi="Segoe UI" w:cs="Segoe UI"/>
                <w:color w:val="000000"/>
                <w:sz w:val="20"/>
                <w:lang w:eastAsia="uk-UA"/>
              </w:rPr>
            </w:pPr>
            <w:r w:rsidRPr="001D48FA">
              <w:rPr>
                <w:rFonts w:ascii="Segoe UI" w:eastAsia="Times New Roman" w:hAnsi="Segoe UI" w:cs="Segoe UI"/>
                <w:color w:val="000000"/>
                <w:sz w:val="20"/>
                <w:lang w:eastAsia="uk-UA"/>
              </w:rPr>
              <w:t>35</w:t>
            </w:r>
          </w:p>
        </w:tc>
      </w:tr>
      <w:tr w:rsidR="00846A58" w:rsidRPr="001D48FA" w14:paraId="02127C71" w14:textId="77777777" w:rsidTr="00A95347">
        <w:trPr>
          <w:trHeight w:val="330"/>
        </w:trPr>
        <w:tc>
          <w:tcPr>
            <w:tcW w:w="4339" w:type="dxa"/>
            <w:vMerge/>
            <w:tcBorders>
              <w:left w:val="single" w:sz="4" w:space="0" w:color="auto"/>
              <w:right w:val="single" w:sz="4" w:space="0" w:color="auto"/>
            </w:tcBorders>
          </w:tcPr>
          <w:p w14:paraId="6DB417E2" w14:textId="77777777" w:rsidR="00846A58" w:rsidRPr="001D48FA" w:rsidRDefault="00846A58" w:rsidP="001D48FA">
            <w:pPr>
              <w:spacing w:after="0" w:line="240" w:lineRule="auto"/>
              <w:rPr>
                <w:rFonts w:ascii="Segoe UI" w:eastAsia="Times New Roman" w:hAnsi="Segoe UI" w:cs="Segoe UI"/>
                <w:color w:val="000000"/>
                <w:sz w:val="20"/>
                <w:lang w:eastAsia="uk-UA"/>
              </w:rPr>
            </w:pPr>
          </w:p>
        </w:tc>
        <w:tc>
          <w:tcPr>
            <w:tcW w:w="3883"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14:paraId="310518C9" w14:textId="77777777" w:rsidR="00846A58" w:rsidRPr="001D48FA" w:rsidRDefault="00846A58" w:rsidP="001D48FA">
            <w:pPr>
              <w:spacing w:after="0" w:line="240" w:lineRule="auto"/>
              <w:rPr>
                <w:rFonts w:ascii="Segoe UI" w:eastAsia="Times New Roman" w:hAnsi="Segoe UI" w:cs="Segoe UI"/>
                <w:color w:val="000000"/>
                <w:sz w:val="20"/>
                <w:lang w:eastAsia="uk-UA"/>
              </w:rPr>
            </w:pPr>
            <w:r w:rsidRPr="001D48FA">
              <w:rPr>
                <w:rFonts w:ascii="Segoe UI" w:eastAsia="Times New Roman" w:hAnsi="Segoe UI" w:cs="Segoe UI"/>
                <w:color w:val="000000"/>
                <w:sz w:val="20"/>
                <w:lang w:eastAsia="uk-UA"/>
              </w:rPr>
              <w:t>3 Черкаська міська лікарня (швидкої допомоги)</w:t>
            </w:r>
          </w:p>
        </w:tc>
        <w:tc>
          <w:tcPr>
            <w:tcW w:w="1407"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14:paraId="2B94AF36" w14:textId="77777777" w:rsidR="00846A58" w:rsidRPr="001D48FA" w:rsidRDefault="00846A58" w:rsidP="001D48FA">
            <w:pPr>
              <w:spacing w:after="0" w:line="240" w:lineRule="auto"/>
              <w:jc w:val="center"/>
              <w:rPr>
                <w:rFonts w:ascii="Segoe UI" w:eastAsia="Times New Roman" w:hAnsi="Segoe UI" w:cs="Segoe UI"/>
                <w:color w:val="000000"/>
                <w:sz w:val="20"/>
                <w:lang w:eastAsia="uk-UA"/>
              </w:rPr>
            </w:pPr>
            <w:r w:rsidRPr="001D48FA">
              <w:rPr>
                <w:rFonts w:ascii="Segoe UI" w:eastAsia="Times New Roman" w:hAnsi="Segoe UI" w:cs="Segoe UI"/>
                <w:color w:val="000000"/>
                <w:sz w:val="20"/>
                <w:lang w:eastAsia="uk-UA"/>
              </w:rPr>
              <w:t>70</w:t>
            </w:r>
          </w:p>
        </w:tc>
      </w:tr>
      <w:tr w:rsidR="00846A58" w:rsidRPr="001D48FA" w14:paraId="4415F908" w14:textId="77777777" w:rsidTr="00A95347">
        <w:trPr>
          <w:trHeight w:val="330"/>
        </w:trPr>
        <w:tc>
          <w:tcPr>
            <w:tcW w:w="4339" w:type="dxa"/>
            <w:vMerge/>
            <w:tcBorders>
              <w:left w:val="single" w:sz="4" w:space="0" w:color="auto"/>
              <w:right w:val="single" w:sz="4" w:space="0" w:color="auto"/>
            </w:tcBorders>
          </w:tcPr>
          <w:p w14:paraId="1A3CBC04" w14:textId="77777777" w:rsidR="00846A58" w:rsidRPr="001D48FA" w:rsidRDefault="00846A58" w:rsidP="001D48FA">
            <w:pPr>
              <w:spacing w:after="0" w:line="240" w:lineRule="auto"/>
              <w:rPr>
                <w:rFonts w:ascii="Segoe UI" w:eastAsia="Times New Roman" w:hAnsi="Segoe UI" w:cs="Segoe UI"/>
                <w:color w:val="000000"/>
                <w:sz w:val="20"/>
                <w:lang w:eastAsia="uk-UA"/>
              </w:rPr>
            </w:pPr>
          </w:p>
        </w:tc>
        <w:tc>
          <w:tcPr>
            <w:tcW w:w="3883"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2705AB71" w14:textId="77777777" w:rsidR="00846A58" w:rsidRPr="001D48FA" w:rsidRDefault="00846A58" w:rsidP="001D48FA">
            <w:pPr>
              <w:spacing w:after="0" w:line="240" w:lineRule="auto"/>
              <w:rPr>
                <w:rFonts w:ascii="Segoe UI" w:eastAsia="Times New Roman" w:hAnsi="Segoe UI" w:cs="Segoe UI"/>
                <w:color w:val="000000"/>
                <w:sz w:val="20"/>
                <w:lang w:eastAsia="uk-UA"/>
              </w:rPr>
            </w:pPr>
            <w:r w:rsidRPr="001D48FA">
              <w:rPr>
                <w:rFonts w:ascii="Segoe UI" w:eastAsia="Times New Roman" w:hAnsi="Segoe UI" w:cs="Segoe UI"/>
                <w:color w:val="000000"/>
                <w:sz w:val="20"/>
                <w:lang w:eastAsia="uk-UA"/>
              </w:rPr>
              <w:t>2 Черкаська міська лікарня (відновного лікування)</w:t>
            </w:r>
          </w:p>
        </w:tc>
        <w:tc>
          <w:tcPr>
            <w:tcW w:w="1407"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1F8ECB32" w14:textId="77777777" w:rsidR="00846A58" w:rsidRPr="001D48FA" w:rsidRDefault="00846A58" w:rsidP="001D48FA">
            <w:pPr>
              <w:spacing w:after="0" w:line="240" w:lineRule="auto"/>
              <w:jc w:val="center"/>
              <w:rPr>
                <w:rFonts w:ascii="Segoe UI" w:eastAsia="Times New Roman" w:hAnsi="Segoe UI" w:cs="Segoe UI"/>
                <w:color w:val="000000"/>
                <w:sz w:val="20"/>
                <w:lang w:eastAsia="uk-UA"/>
              </w:rPr>
            </w:pPr>
            <w:r w:rsidRPr="001D48FA">
              <w:rPr>
                <w:rFonts w:ascii="Segoe UI" w:eastAsia="Times New Roman" w:hAnsi="Segoe UI" w:cs="Segoe UI"/>
                <w:color w:val="000000"/>
                <w:sz w:val="20"/>
                <w:lang w:eastAsia="uk-UA"/>
              </w:rPr>
              <w:t>60</w:t>
            </w:r>
          </w:p>
        </w:tc>
      </w:tr>
      <w:tr w:rsidR="00846A58" w:rsidRPr="001D48FA" w14:paraId="36EDF9EB" w14:textId="77777777" w:rsidTr="00A95347">
        <w:trPr>
          <w:trHeight w:val="330"/>
        </w:trPr>
        <w:tc>
          <w:tcPr>
            <w:tcW w:w="4339" w:type="dxa"/>
            <w:vMerge/>
            <w:tcBorders>
              <w:left w:val="single" w:sz="4" w:space="0" w:color="auto"/>
              <w:right w:val="single" w:sz="4" w:space="0" w:color="auto"/>
            </w:tcBorders>
          </w:tcPr>
          <w:p w14:paraId="19FF86C5" w14:textId="77777777" w:rsidR="00846A58" w:rsidRPr="001D48FA" w:rsidRDefault="00846A58" w:rsidP="001D48FA">
            <w:pPr>
              <w:spacing w:after="0" w:line="240" w:lineRule="auto"/>
              <w:rPr>
                <w:rFonts w:ascii="Segoe UI" w:eastAsia="Times New Roman" w:hAnsi="Segoe UI" w:cs="Segoe UI"/>
                <w:color w:val="000000"/>
                <w:sz w:val="20"/>
                <w:lang w:eastAsia="uk-UA"/>
              </w:rPr>
            </w:pPr>
          </w:p>
        </w:tc>
        <w:tc>
          <w:tcPr>
            <w:tcW w:w="3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1E564" w14:textId="77777777" w:rsidR="00846A58" w:rsidRPr="001D48FA" w:rsidRDefault="00846A58" w:rsidP="001D48FA">
            <w:pPr>
              <w:spacing w:after="0" w:line="240" w:lineRule="auto"/>
              <w:rPr>
                <w:rFonts w:ascii="Segoe UI" w:eastAsia="Times New Roman" w:hAnsi="Segoe UI" w:cs="Segoe UI"/>
                <w:color w:val="000000"/>
                <w:sz w:val="20"/>
                <w:lang w:eastAsia="uk-UA"/>
              </w:rPr>
            </w:pPr>
            <w:r w:rsidRPr="001D48FA">
              <w:rPr>
                <w:rFonts w:ascii="Segoe UI" w:eastAsia="Times New Roman" w:hAnsi="Segoe UI" w:cs="Segoe UI"/>
                <w:color w:val="000000"/>
                <w:sz w:val="20"/>
                <w:lang w:eastAsia="uk-UA"/>
              </w:rPr>
              <w:t>1 Черкаська міська лікарня</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A2583" w14:textId="77777777" w:rsidR="00846A58" w:rsidRPr="001D48FA" w:rsidRDefault="00846A58" w:rsidP="001D48FA">
            <w:pPr>
              <w:spacing w:after="0" w:line="240" w:lineRule="auto"/>
              <w:jc w:val="center"/>
              <w:rPr>
                <w:rFonts w:ascii="Segoe UI" w:eastAsia="Times New Roman" w:hAnsi="Segoe UI" w:cs="Segoe UI"/>
                <w:color w:val="000000"/>
                <w:sz w:val="20"/>
                <w:lang w:eastAsia="uk-UA"/>
              </w:rPr>
            </w:pPr>
            <w:r w:rsidRPr="001D48FA">
              <w:rPr>
                <w:rFonts w:ascii="Segoe UI" w:eastAsia="Times New Roman" w:hAnsi="Segoe UI" w:cs="Segoe UI"/>
                <w:color w:val="000000"/>
                <w:sz w:val="20"/>
                <w:lang w:eastAsia="uk-UA"/>
              </w:rPr>
              <w:t>30</w:t>
            </w:r>
          </w:p>
        </w:tc>
      </w:tr>
      <w:tr w:rsidR="00846A58" w:rsidRPr="001D48FA" w14:paraId="708A04EB" w14:textId="77777777" w:rsidTr="00A95347">
        <w:trPr>
          <w:trHeight w:val="330"/>
        </w:trPr>
        <w:tc>
          <w:tcPr>
            <w:tcW w:w="4339" w:type="dxa"/>
            <w:vMerge/>
            <w:tcBorders>
              <w:left w:val="single" w:sz="4" w:space="0" w:color="auto"/>
              <w:right w:val="single" w:sz="4" w:space="0" w:color="auto"/>
            </w:tcBorders>
          </w:tcPr>
          <w:p w14:paraId="6299725A" w14:textId="77777777" w:rsidR="00846A58" w:rsidRPr="001D48FA" w:rsidRDefault="00846A58" w:rsidP="001D48FA">
            <w:pPr>
              <w:spacing w:after="0" w:line="240" w:lineRule="auto"/>
              <w:rPr>
                <w:rFonts w:ascii="Segoe UI" w:eastAsia="Times New Roman" w:hAnsi="Segoe UI" w:cs="Segoe UI"/>
                <w:color w:val="000000"/>
                <w:sz w:val="20"/>
                <w:lang w:eastAsia="uk-UA"/>
              </w:rPr>
            </w:pPr>
          </w:p>
        </w:tc>
        <w:tc>
          <w:tcPr>
            <w:tcW w:w="3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4D990" w14:textId="77777777" w:rsidR="00846A58" w:rsidRPr="001D48FA" w:rsidRDefault="00846A58" w:rsidP="001D48FA">
            <w:pPr>
              <w:spacing w:after="0" w:line="240" w:lineRule="auto"/>
              <w:rPr>
                <w:rFonts w:ascii="Segoe UI" w:eastAsia="Times New Roman" w:hAnsi="Segoe UI" w:cs="Segoe UI"/>
                <w:color w:val="000000"/>
                <w:sz w:val="20"/>
                <w:lang w:eastAsia="uk-UA"/>
              </w:rPr>
            </w:pPr>
            <w:r w:rsidRPr="001D48FA">
              <w:rPr>
                <w:rFonts w:ascii="Segoe UI" w:eastAsia="Times New Roman" w:hAnsi="Segoe UI" w:cs="Segoe UI"/>
                <w:color w:val="000000"/>
                <w:sz w:val="20"/>
                <w:lang w:eastAsia="uk-UA"/>
              </w:rPr>
              <w:t>Уманська міська лікарня*</w:t>
            </w:r>
            <w:r w:rsidRPr="00D67184">
              <w:rPr>
                <w:rFonts w:ascii="Segoe UI" w:eastAsia="Times New Roman" w:hAnsi="Segoe UI" w:cs="Segoe UI"/>
                <w:color w:val="000000"/>
                <w:sz w:val="20"/>
                <w:lang w:eastAsia="uk-UA"/>
              </w:rPr>
              <w:t>*</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B2E40" w14:textId="77777777" w:rsidR="00846A58" w:rsidRPr="001D48FA" w:rsidRDefault="00846A58" w:rsidP="001D48FA">
            <w:pPr>
              <w:spacing w:after="0" w:line="240" w:lineRule="auto"/>
              <w:jc w:val="center"/>
              <w:rPr>
                <w:rFonts w:ascii="Segoe UI" w:eastAsia="Times New Roman" w:hAnsi="Segoe UI" w:cs="Segoe UI"/>
                <w:color w:val="000000"/>
                <w:sz w:val="20"/>
                <w:lang w:eastAsia="uk-UA"/>
              </w:rPr>
            </w:pPr>
            <w:r w:rsidRPr="00D67184">
              <w:rPr>
                <w:rFonts w:ascii="Segoe UI" w:eastAsia="Times New Roman" w:hAnsi="Segoe UI" w:cs="Segoe UI"/>
                <w:color w:val="000000"/>
                <w:sz w:val="20"/>
                <w:lang w:eastAsia="uk-UA"/>
              </w:rPr>
              <w:t>3</w:t>
            </w:r>
            <w:r w:rsidRPr="001D48FA">
              <w:rPr>
                <w:rFonts w:ascii="Segoe UI" w:eastAsia="Times New Roman" w:hAnsi="Segoe UI" w:cs="Segoe UI"/>
                <w:color w:val="000000"/>
                <w:sz w:val="20"/>
                <w:lang w:eastAsia="uk-UA"/>
              </w:rPr>
              <w:t>0</w:t>
            </w:r>
          </w:p>
        </w:tc>
      </w:tr>
      <w:tr w:rsidR="00846A58" w:rsidRPr="001D48FA" w14:paraId="3B488CDE" w14:textId="77777777" w:rsidTr="00A95347">
        <w:trPr>
          <w:trHeight w:val="330"/>
        </w:trPr>
        <w:tc>
          <w:tcPr>
            <w:tcW w:w="4339" w:type="dxa"/>
            <w:vMerge/>
            <w:tcBorders>
              <w:left w:val="single" w:sz="4" w:space="0" w:color="auto"/>
              <w:right w:val="single" w:sz="4" w:space="0" w:color="auto"/>
            </w:tcBorders>
          </w:tcPr>
          <w:p w14:paraId="79EBA9FF" w14:textId="77777777" w:rsidR="00846A58" w:rsidRPr="001D48FA" w:rsidRDefault="00846A58" w:rsidP="001D48FA">
            <w:pPr>
              <w:spacing w:after="0" w:line="240" w:lineRule="auto"/>
              <w:rPr>
                <w:rFonts w:ascii="Segoe UI" w:eastAsia="Times New Roman" w:hAnsi="Segoe UI" w:cs="Segoe UI"/>
                <w:color w:val="000000"/>
                <w:sz w:val="20"/>
                <w:lang w:eastAsia="uk-UA"/>
              </w:rPr>
            </w:pPr>
          </w:p>
        </w:tc>
        <w:tc>
          <w:tcPr>
            <w:tcW w:w="3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59AF0" w14:textId="77777777" w:rsidR="00846A58" w:rsidRPr="001D48FA" w:rsidRDefault="00846A58" w:rsidP="001D48FA">
            <w:pPr>
              <w:spacing w:after="0" w:line="240" w:lineRule="auto"/>
              <w:rPr>
                <w:rFonts w:ascii="Segoe UI" w:eastAsia="Times New Roman" w:hAnsi="Segoe UI" w:cs="Segoe UI"/>
                <w:color w:val="000000"/>
                <w:sz w:val="20"/>
                <w:lang w:eastAsia="uk-UA"/>
              </w:rPr>
            </w:pPr>
            <w:r w:rsidRPr="001D48FA">
              <w:rPr>
                <w:rFonts w:ascii="Segoe UI" w:eastAsia="Times New Roman" w:hAnsi="Segoe UI" w:cs="Segoe UI"/>
                <w:color w:val="000000"/>
                <w:sz w:val="20"/>
                <w:lang w:eastAsia="uk-UA"/>
              </w:rPr>
              <w:t>Уманська центральна районна лікарня</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5DA67" w14:textId="77777777" w:rsidR="00846A58" w:rsidRPr="001D48FA" w:rsidRDefault="00846A58" w:rsidP="001D48FA">
            <w:pPr>
              <w:spacing w:after="0" w:line="240" w:lineRule="auto"/>
              <w:jc w:val="center"/>
              <w:rPr>
                <w:rFonts w:ascii="Segoe UI" w:eastAsia="Times New Roman" w:hAnsi="Segoe UI" w:cs="Segoe UI"/>
                <w:color w:val="000000"/>
                <w:sz w:val="20"/>
                <w:lang w:eastAsia="uk-UA"/>
              </w:rPr>
            </w:pPr>
            <w:r w:rsidRPr="001D48FA">
              <w:rPr>
                <w:rFonts w:ascii="Segoe UI" w:eastAsia="Times New Roman" w:hAnsi="Segoe UI" w:cs="Segoe UI"/>
                <w:color w:val="000000"/>
                <w:sz w:val="20"/>
                <w:lang w:eastAsia="uk-UA"/>
              </w:rPr>
              <w:t>30</w:t>
            </w:r>
          </w:p>
        </w:tc>
      </w:tr>
      <w:tr w:rsidR="00846A58" w:rsidRPr="001D48FA" w14:paraId="7EFE314B" w14:textId="77777777" w:rsidTr="00A95347">
        <w:trPr>
          <w:trHeight w:val="330"/>
        </w:trPr>
        <w:tc>
          <w:tcPr>
            <w:tcW w:w="4339" w:type="dxa"/>
            <w:vMerge/>
            <w:tcBorders>
              <w:left w:val="single" w:sz="4" w:space="0" w:color="auto"/>
              <w:right w:val="single" w:sz="4" w:space="0" w:color="auto"/>
            </w:tcBorders>
          </w:tcPr>
          <w:p w14:paraId="6950E641" w14:textId="77777777" w:rsidR="00846A58" w:rsidRPr="001D48FA" w:rsidRDefault="00846A58" w:rsidP="001D48FA">
            <w:pPr>
              <w:spacing w:after="0" w:line="240" w:lineRule="auto"/>
              <w:rPr>
                <w:rFonts w:ascii="Segoe UI" w:eastAsia="Times New Roman" w:hAnsi="Segoe UI" w:cs="Segoe UI"/>
                <w:color w:val="000000"/>
                <w:sz w:val="20"/>
                <w:lang w:eastAsia="uk-UA"/>
              </w:rPr>
            </w:pPr>
          </w:p>
        </w:tc>
        <w:tc>
          <w:tcPr>
            <w:tcW w:w="3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E4200" w14:textId="77777777" w:rsidR="00846A58" w:rsidRPr="001D48FA" w:rsidRDefault="00846A58" w:rsidP="001D48FA">
            <w:pPr>
              <w:spacing w:after="0" w:line="240" w:lineRule="auto"/>
              <w:rPr>
                <w:rFonts w:ascii="Segoe UI" w:eastAsia="Times New Roman" w:hAnsi="Segoe UI" w:cs="Segoe UI"/>
                <w:color w:val="000000"/>
                <w:sz w:val="20"/>
                <w:lang w:eastAsia="uk-UA"/>
              </w:rPr>
            </w:pPr>
            <w:proofErr w:type="spellStart"/>
            <w:r w:rsidRPr="001D48FA">
              <w:rPr>
                <w:rFonts w:ascii="Segoe UI" w:eastAsia="Times New Roman" w:hAnsi="Segoe UI" w:cs="Segoe UI"/>
                <w:color w:val="000000"/>
                <w:sz w:val="20"/>
                <w:lang w:eastAsia="uk-UA"/>
              </w:rPr>
              <w:t>Жашківська</w:t>
            </w:r>
            <w:proofErr w:type="spellEnd"/>
            <w:r w:rsidRPr="001D48FA">
              <w:rPr>
                <w:rFonts w:ascii="Segoe UI" w:eastAsia="Times New Roman" w:hAnsi="Segoe UI" w:cs="Segoe UI"/>
                <w:color w:val="000000"/>
                <w:sz w:val="20"/>
                <w:lang w:eastAsia="uk-UA"/>
              </w:rPr>
              <w:t xml:space="preserve"> центральна районна лікарня</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6D38A" w14:textId="77777777" w:rsidR="00846A58" w:rsidRPr="001D48FA" w:rsidRDefault="00846A58" w:rsidP="001D48FA">
            <w:pPr>
              <w:spacing w:after="0" w:line="240" w:lineRule="auto"/>
              <w:jc w:val="center"/>
              <w:rPr>
                <w:rFonts w:ascii="Segoe UI" w:eastAsia="Times New Roman" w:hAnsi="Segoe UI" w:cs="Segoe UI"/>
                <w:color w:val="000000"/>
                <w:sz w:val="20"/>
                <w:lang w:eastAsia="uk-UA"/>
              </w:rPr>
            </w:pPr>
            <w:r w:rsidRPr="001D48FA">
              <w:rPr>
                <w:rFonts w:ascii="Segoe UI" w:eastAsia="Times New Roman" w:hAnsi="Segoe UI" w:cs="Segoe UI"/>
                <w:color w:val="000000"/>
                <w:sz w:val="20"/>
                <w:lang w:eastAsia="uk-UA"/>
              </w:rPr>
              <w:t>40</w:t>
            </w:r>
          </w:p>
        </w:tc>
      </w:tr>
      <w:tr w:rsidR="00846A58" w:rsidRPr="001D48FA" w14:paraId="02223543" w14:textId="77777777" w:rsidTr="00A95347">
        <w:trPr>
          <w:trHeight w:val="330"/>
        </w:trPr>
        <w:tc>
          <w:tcPr>
            <w:tcW w:w="4339" w:type="dxa"/>
            <w:vMerge/>
            <w:tcBorders>
              <w:left w:val="single" w:sz="4" w:space="0" w:color="auto"/>
              <w:right w:val="single" w:sz="4" w:space="0" w:color="auto"/>
            </w:tcBorders>
          </w:tcPr>
          <w:p w14:paraId="78B5F41E" w14:textId="77777777" w:rsidR="00846A58" w:rsidRPr="001D48FA" w:rsidRDefault="00846A58" w:rsidP="001D48FA">
            <w:pPr>
              <w:spacing w:after="0" w:line="240" w:lineRule="auto"/>
              <w:rPr>
                <w:rFonts w:ascii="Segoe UI" w:eastAsia="Times New Roman" w:hAnsi="Segoe UI" w:cs="Segoe UI"/>
                <w:color w:val="000000"/>
                <w:sz w:val="20"/>
                <w:lang w:eastAsia="uk-UA"/>
              </w:rPr>
            </w:pPr>
          </w:p>
        </w:tc>
        <w:tc>
          <w:tcPr>
            <w:tcW w:w="3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3160F" w14:textId="77777777" w:rsidR="00846A58" w:rsidRPr="001D48FA" w:rsidRDefault="00846A58" w:rsidP="001D48FA">
            <w:pPr>
              <w:spacing w:after="0" w:line="240" w:lineRule="auto"/>
              <w:rPr>
                <w:rFonts w:ascii="Segoe UI" w:eastAsia="Times New Roman" w:hAnsi="Segoe UI" w:cs="Segoe UI"/>
                <w:color w:val="000000"/>
                <w:sz w:val="20"/>
                <w:lang w:eastAsia="uk-UA"/>
              </w:rPr>
            </w:pPr>
            <w:proofErr w:type="spellStart"/>
            <w:r w:rsidRPr="001D48FA">
              <w:rPr>
                <w:rFonts w:ascii="Segoe UI" w:eastAsia="Times New Roman" w:hAnsi="Segoe UI" w:cs="Segoe UI"/>
                <w:color w:val="000000"/>
                <w:sz w:val="20"/>
                <w:lang w:eastAsia="uk-UA"/>
              </w:rPr>
              <w:t>Золотоніська</w:t>
            </w:r>
            <w:proofErr w:type="spellEnd"/>
            <w:r w:rsidRPr="001D48FA">
              <w:rPr>
                <w:rFonts w:ascii="Segoe UI" w:eastAsia="Times New Roman" w:hAnsi="Segoe UI" w:cs="Segoe UI"/>
                <w:color w:val="000000"/>
                <w:sz w:val="20"/>
                <w:lang w:eastAsia="uk-UA"/>
              </w:rPr>
              <w:t xml:space="preserve"> центральна районна лікарня</w:t>
            </w:r>
            <w:r w:rsidRPr="00D67184">
              <w:rPr>
                <w:rFonts w:ascii="Segoe UI" w:eastAsia="Times New Roman" w:hAnsi="Segoe UI" w:cs="Segoe UI"/>
                <w:color w:val="000000"/>
                <w:sz w:val="20"/>
                <w:lang w:eastAsia="uk-UA"/>
              </w:rPr>
              <w:t>**</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244B2" w14:textId="77777777" w:rsidR="00846A58" w:rsidRPr="001D48FA" w:rsidRDefault="00846A58" w:rsidP="001D48FA">
            <w:pPr>
              <w:spacing w:after="0" w:line="240" w:lineRule="auto"/>
              <w:jc w:val="center"/>
              <w:rPr>
                <w:rFonts w:ascii="Segoe UI" w:eastAsia="Times New Roman" w:hAnsi="Segoe UI" w:cs="Segoe UI"/>
                <w:color w:val="000000"/>
                <w:sz w:val="20"/>
                <w:lang w:eastAsia="uk-UA"/>
              </w:rPr>
            </w:pPr>
            <w:r w:rsidRPr="00D67184">
              <w:rPr>
                <w:rFonts w:ascii="Segoe UI" w:eastAsia="Times New Roman" w:hAnsi="Segoe UI" w:cs="Segoe UI"/>
                <w:color w:val="000000"/>
                <w:sz w:val="20"/>
                <w:lang w:eastAsia="uk-UA"/>
              </w:rPr>
              <w:t>3</w:t>
            </w:r>
            <w:r w:rsidRPr="001D48FA">
              <w:rPr>
                <w:rFonts w:ascii="Segoe UI" w:eastAsia="Times New Roman" w:hAnsi="Segoe UI" w:cs="Segoe UI"/>
                <w:color w:val="000000"/>
                <w:sz w:val="20"/>
                <w:lang w:eastAsia="uk-UA"/>
              </w:rPr>
              <w:t>0</w:t>
            </w:r>
          </w:p>
        </w:tc>
      </w:tr>
      <w:tr w:rsidR="00846A58" w:rsidRPr="001D48FA" w14:paraId="7FE78D7A" w14:textId="77777777" w:rsidTr="00A95347">
        <w:trPr>
          <w:trHeight w:val="330"/>
        </w:trPr>
        <w:tc>
          <w:tcPr>
            <w:tcW w:w="4339" w:type="dxa"/>
            <w:vMerge/>
            <w:tcBorders>
              <w:left w:val="single" w:sz="4" w:space="0" w:color="auto"/>
              <w:right w:val="single" w:sz="4" w:space="0" w:color="auto"/>
            </w:tcBorders>
          </w:tcPr>
          <w:p w14:paraId="75620196" w14:textId="77777777" w:rsidR="00846A58" w:rsidRPr="001D48FA" w:rsidRDefault="00846A58" w:rsidP="001D48FA">
            <w:pPr>
              <w:spacing w:after="0" w:line="240" w:lineRule="auto"/>
              <w:rPr>
                <w:rFonts w:ascii="Segoe UI" w:eastAsia="Times New Roman" w:hAnsi="Segoe UI" w:cs="Segoe UI"/>
                <w:color w:val="000000"/>
                <w:sz w:val="20"/>
                <w:lang w:eastAsia="uk-UA"/>
              </w:rPr>
            </w:pPr>
          </w:p>
        </w:tc>
        <w:tc>
          <w:tcPr>
            <w:tcW w:w="3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3C4D1" w14:textId="77777777" w:rsidR="00846A58" w:rsidRPr="001D48FA" w:rsidRDefault="00846A58" w:rsidP="001D48FA">
            <w:pPr>
              <w:spacing w:after="0" w:line="240" w:lineRule="auto"/>
              <w:rPr>
                <w:rFonts w:ascii="Segoe UI" w:eastAsia="Times New Roman" w:hAnsi="Segoe UI" w:cs="Segoe UI"/>
                <w:color w:val="000000"/>
                <w:sz w:val="20"/>
                <w:lang w:eastAsia="uk-UA"/>
              </w:rPr>
            </w:pPr>
            <w:r w:rsidRPr="001D48FA">
              <w:rPr>
                <w:rFonts w:ascii="Segoe UI" w:eastAsia="Times New Roman" w:hAnsi="Segoe UI" w:cs="Segoe UI"/>
                <w:color w:val="000000"/>
                <w:sz w:val="20"/>
                <w:lang w:eastAsia="uk-UA"/>
              </w:rPr>
              <w:t>Звенигородська центральна районна лікарня</w:t>
            </w:r>
            <w:r w:rsidRPr="00D67184">
              <w:rPr>
                <w:rFonts w:ascii="Segoe UI" w:eastAsia="Times New Roman" w:hAnsi="Segoe UI" w:cs="Segoe UI"/>
                <w:color w:val="000000"/>
                <w:sz w:val="20"/>
                <w:lang w:eastAsia="uk-UA"/>
              </w:rPr>
              <w:t>**</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250ED" w14:textId="77777777" w:rsidR="00846A58" w:rsidRPr="001D48FA" w:rsidRDefault="00846A58" w:rsidP="001D48FA">
            <w:pPr>
              <w:spacing w:after="0" w:line="240" w:lineRule="auto"/>
              <w:jc w:val="center"/>
              <w:rPr>
                <w:rFonts w:ascii="Segoe UI" w:eastAsia="Times New Roman" w:hAnsi="Segoe UI" w:cs="Segoe UI"/>
                <w:color w:val="000000"/>
                <w:sz w:val="20"/>
                <w:lang w:eastAsia="uk-UA"/>
              </w:rPr>
            </w:pPr>
            <w:r w:rsidRPr="00D67184">
              <w:rPr>
                <w:rFonts w:ascii="Segoe UI" w:eastAsia="Times New Roman" w:hAnsi="Segoe UI" w:cs="Segoe UI"/>
                <w:color w:val="000000"/>
                <w:sz w:val="20"/>
                <w:lang w:eastAsia="uk-UA"/>
              </w:rPr>
              <w:t>3</w:t>
            </w:r>
            <w:r w:rsidRPr="001D48FA">
              <w:rPr>
                <w:rFonts w:ascii="Segoe UI" w:eastAsia="Times New Roman" w:hAnsi="Segoe UI" w:cs="Segoe UI"/>
                <w:color w:val="000000"/>
                <w:sz w:val="20"/>
                <w:lang w:eastAsia="uk-UA"/>
              </w:rPr>
              <w:t>0</w:t>
            </w:r>
          </w:p>
        </w:tc>
      </w:tr>
      <w:tr w:rsidR="00846A58" w:rsidRPr="001D48FA" w14:paraId="344C17BF" w14:textId="77777777" w:rsidTr="00A95347">
        <w:trPr>
          <w:trHeight w:val="330"/>
        </w:trPr>
        <w:tc>
          <w:tcPr>
            <w:tcW w:w="4339" w:type="dxa"/>
            <w:vMerge/>
            <w:tcBorders>
              <w:left w:val="single" w:sz="4" w:space="0" w:color="auto"/>
              <w:right w:val="single" w:sz="4" w:space="0" w:color="auto"/>
            </w:tcBorders>
          </w:tcPr>
          <w:p w14:paraId="712B8B69" w14:textId="77777777" w:rsidR="00846A58" w:rsidRPr="001D48FA" w:rsidRDefault="00846A58" w:rsidP="001D48FA">
            <w:pPr>
              <w:spacing w:after="0" w:line="240" w:lineRule="auto"/>
              <w:rPr>
                <w:rFonts w:ascii="Segoe UI" w:eastAsia="Times New Roman" w:hAnsi="Segoe UI" w:cs="Segoe UI"/>
                <w:color w:val="000000"/>
                <w:sz w:val="20"/>
                <w:lang w:eastAsia="uk-UA"/>
              </w:rPr>
            </w:pPr>
          </w:p>
        </w:tc>
        <w:tc>
          <w:tcPr>
            <w:tcW w:w="3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0325B" w14:textId="77777777" w:rsidR="00846A58" w:rsidRPr="001D48FA" w:rsidRDefault="00846A58" w:rsidP="001D48FA">
            <w:pPr>
              <w:spacing w:after="0" w:line="240" w:lineRule="auto"/>
              <w:rPr>
                <w:rFonts w:ascii="Segoe UI" w:eastAsia="Times New Roman" w:hAnsi="Segoe UI" w:cs="Segoe UI"/>
                <w:color w:val="000000"/>
                <w:sz w:val="20"/>
                <w:lang w:eastAsia="uk-UA"/>
              </w:rPr>
            </w:pPr>
            <w:r w:rsidRPr="001D48FA">
              <w:rPr>
                <w:rFonts w:ascii="Segoe UI" w:eastAsia="Times New Roman" w:hAnsi="Segoe UI" w:cs="Segoe UI"/>
                <w:color w:val="000000"/>
                <w:sz w:val="20"/>
                <w:lang w:eastAsia="uk-UA"/>
              </w:rPr>
              <w:t>Смілянська центральна районна лікарня</w:t>
            </w:r>
            <w:r w:rsidRPr="00D67184">
              <w:rPr>
                <w:rFonts w:ascii="Segoe UI" w:eastAsia="Times New Roman" w:hAnsi="Segoe UI" w:cs="Segoe UI"/>
                <w:color w:val="000000"/>
                <w:sz w:val="20"/>
                <w:lang w:eastAsia="uk-UA"/>
              </w:rPr>
              <w:t>**</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8A698" w14:textId="77777777" w:rsidR="00846A58" w:rsidRPr="001D48FA" w:rsidRDefault="00846A58" w:rsidP="001D48FA">
            <w:pPr>
              <w:spacing w:after="0" w:line="240" w:lineRule="auto"/>
              <w:jc w:val="center"/>
              <w:rPr>
                <w:rFonts w:ascii="Segoe UI" w:eastAsia="Times New Roman" w:hAnsi="Segoe UI" w:cs="Segoe UI"/>
                <w:color w:val="000000"/>
                <w:sz w:val="20"/>
                <w:lang w:eastAsia="uk-UA"/>
              </w:rPr>
            </w:pPr>
            <w:r w:rsidRPr="00D67184">
              <w:rPr>
                <w:rFonts w:ascii="Segoe UI" w:eastAsia="Times New Roman" w:hAnsi="Segoe UI" w:cs="Segoe UI"/>
                <w:color w:val="000000"/>
                <w:sz w:val="20"/>
                <w:lang w:eastAsia="uk-UA"/>
              </w:rPr>
              <w:t>3</w:t>
            </w:r>
            <w:r w:rsidRPr="001D48FA">
              <w:rPr>
                <w:rFonts w:ascii="Segoe UI" w:eastAsia="Times New Roman" w:hAnsi="Segoe UI" w:cs="Segoe UI"/>
                <w:color w:val="000000"/>
                <w:sz w:val="20"/>
                <w:lang w:eastAsia="uk-UA"/>
              </w:rPr>
              <w:t>0</w:t>
            </w:r>
          </w:p>
        </w:tc>
      </w:tr>
      <w:tr w:rsidR="00846A58" w:rsidRPr="001D48FA" w14:paraId="46A2F4B7" w14:textId="77777777" w:rsidTr="00A95347">
        <w:trPr>
          <w:trHeight w:val="330"/>
        </w:trPr>
        <w:tc>
          <w:tcPr>
            <w:tcW w:w="4339" w:type="dxa"/>
            <w:vMerge/>
            <w:tcBorders>
              <w:left w:val="single" w:sz="4" w:space="0" w:color="auto"/>
              <w:bottom w:val="single" w:sz="4" w:space="0" w:color="auto"/>
              <w:right w:val="single" w:sz="4" w:space="0" w:color="auto"/>
            </w:tcBorders>
          </w:tcPr>
          <w:p w14:paraId="6637BE0C" w14:textId="77777777" w:rsidR="00846A58" w:rsidRPr="001F0179" w:rsidRDefault="00846A58" w:rsidP="001F0179">
            <w:pPr>
              <w:spacing w:after="0" w:line="240" w:lineRule="auto"/>
              <w:rPr>
                <w:rFonts w:ascii="Segoe UI" w:eastAsia="Times New Roman" w:hAnsi="Segoe UI" w:cs="Segoe UI"/>
                <w:i/>
                <w:color w:val="000000"/>
                <w:sz w:val="18"/>
                <w:lang w:eastAsia="uk-UA"/>
              </w:rPr>
            </w:pPr>
          </w:p>
        </w:tc>
        <w:tc>
          <w:tcPr>
            <w:tcW w:w="5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82AD07" w14:textId="4C1C74E0" w:rsidR="00846A58" w:rsidRDefault="00846A58" w:rsidP="001F0179">
            <w:pPr>
              <w:spacing w:after="0" w:line="240" w:lineRule="auto"/>
              <w:rPr>
                <w:rFonts w:ascii="Segoe UI" w:eastAsia="Times New Roman" w:hAnsi="Segoe UI" w:cs="Segoe UI"/>
                <w:i/>
                <w:color w:val="000000"/>
                <w:sz w:val="18"/>
                <w:lang w:eastAsia="uk-UA"/>
              </w:rPr>
            </w:pPr>
            <w:r w:rsidRPr="001F0179">
              <w:rPr>
                <w:rFonts w:ascii="Segoe UI" w:eastAsia="Times New Roman" w:hAnsi="Segoe UI" w:cs="Segoe UI"/>
                <w:i/>
                <w:color w:val="000000"/>
                <w:sz w:val="18"/>
                <w:lang w:eastAsia="uk-UA"/>
              </w:rPr>
              <w:t>*</w:t>
            </w:r>
            <w:r>
              <w:rPr>
                <w:rFonts w:ascii="Segoe UI" w:eastAsia="Times New Roman" w:hAnsi="Segoe UI" w:cs="Segoe UI"/>
                <w:i/>
                <w:color w:val="000000"/>
                <w:sz w:val="18"/>
                <w:lang w:eastAsia="uk-UA"/>
              </w:rPr>
              <w:t xml:space="preserve"> </w:t>
            </w:r>
            <w:r w:rsidRPr="001F0179">
              <w:rPr>
                <w:rFonts w:ascii="Segoe UI" w:eastAsia="Times New Roman" w:hAnsi="Segoe UI" w:cs="Segoe UI"/>
                <w:i/>
                <w:color w:val="000000"/>
                <w:sz w:val="18"/>
                <w:lang w:eastAsia="uk-UA"/>
              </w:rPr>
              <w:t xml:space="preserve">лікарня декларує </w:t>
            </w:r>
            <w:r w:rsidR="001209A5">
              <w:rPr>
                <w:rFonts w:ascii="Segoe UI" w:eastAsia="Times New Roman" w:hAnsi="Segoe UI" w:cs="Segoe UI"/>
                <w:i/>
                <w:color w:val="000000"/>
                <w:sz w:val="18"/>
                <w:lang w:eastAsia="uk-UA"/>
              </w:rPr>
              <w:t>свої ліжка</w:t>
            </w:r>
            <w:r w:rsidRPr="001F0179">
              <w:rPr>
                <w:rFonts w:ascii="Segoe UI" w:eastAsia="Times New Roman" w:hAnsi="Segoe UI" w:cs="Segoe UI"/>
                <w:i/>
                <w:color w:val="000000"/>
                <w:sz w:val="18"/>
                <w:lang w:eastAsia="uk-UA"/>
              </w:rPr>
              <w:t xml:space="preserve"> як ліжка третинної допомоги</w:t>
            </w:r>
          </w:p>
          <w:p w14:paraId="473490C7" w14:textId="77777777" w:rsidR="00846A58" w:rsidRPr="001F0179" w:rsidRDefault="00846A58" w:rsidP="001F0179">
            <w:pPr>
              <w:spacing w:after="0" w:line="240" w:lineRule="auto"/>
              <w:rPr>
                <w:rFonts w:ascii="Segoe UI" w:eastAsia="Times New Roman" w:hAnsi="Segoe UI" w:cs="Segoe UI"/>
                <w:i/>
                <w:color w:val="000000"/>
                <w:lang w:eastAsia="uk-UA"/>
              </w:rPr>
            </w:pPr>
            <w:r>
              <w:rPr>
                <w:rFonts w:ascii="Segoe UI" w:eastAsia="Times New Roman" w:hAnsi="Segoe UI" w:cs="Segoe UI"/>
                <w:i/>
                <w:color w:val="000000"/>
                <w:sz w:val="18"/>
                <w:lang w:eastAsia="uk-UA"/>
              </w:rPr>
              <w:t>** немає точних даних, використано типові дані</w:t>
            </w:r>
          </w:p>
        </w:tc>
      </w:tr>
    </w:tbl>
    <w:p w14:paraId="7492E2D3" w14:textId="516C281F" w:rsidR="0065384D" w:rsidRDefault="00142335" w:rsidP="00A70F50">
      <w:pPr>
        <w:spacing w:before="240"/>
        <w:jc w:val="both"/>
      </w:pPr>
      <w:r>
        <w:t>Г</w:t>
      </w:r>
      <w:r w:rsidR="001F63EC">
        <w:t xml:space="preserve">іпотетична модель </w:t>
      </w:r>
      <w:r>
        <w:t xml:space="preserve">організації послуг після </w:t>
      </w:r>
      <w:r w:rsidR="001F63EC">
        <w:t xml:space="preserve">децентралізації в Черкаській області демонструє: </w:t>
      </w:r>
      <w:r w:rsidR="0065384D">
        <w:t xml:space="preserve">лише </w:t>
      </w:r>
      <w:r>
        <w:t xml:space="preserve">незалежний </w:t>
      </w:r>
      <w:r w:rsidR="0065384D">
        <w:t xml:space="preserve">замовник на рівні області зможе </w:t>
      </w:r>
      <w:r w:rsidR="001F63EC">
        <w:t>прийти до виснов</w:t>
      </w:r>
      <w:r w:rsidR="00C819A8">
        <w:t>к</w:t>
      </w:r>
      <w:r w:rsidR="001F63EC">
        <w:t>у</w:t>
      </w:r>
      <w:r w:rsidR="0065384D">
        <w:t>, що 3</w:t>
      </w:r>
      <w:r w:rsidR="00052CAF">
        <w:t>-тя</w:t>
      </w:r>
      <w:r w:rsidR="0065384D">
        <w:t xml:space="preserve"> Черкаська лікарня швидкої допомоги </w:t>
      </w:r>
      <w:r w:rsidR="00B82C88">
        <w:t>може стати</w:t>
      </w:r>
      <w:r w:rsidR="0065384D">
        <w:t xml:space="preserve"> провідним центром надання допомоги при </w:t>
      </w:r>
      <w:r w:rsidR="00052CAF">
        <w:t xml:space="preserve">гострому </w:t>
      </w:r>
      <w:r w:rsidR="0065384D">
        <w:t>інсульті</w:t>
      </w:r>
      <w:r w:rsidR="00052CAF">
        <w:t xml:space="preserve">, а 2-га міська лікарня – </w:t>
      </w:r>
      <w:r w:rsidR="00C819A8">
        <w:t xml:space="preserve">провідним </w:t>
      </w:r>
      <w:r w:rsidR="00052CAF">
        <w:t>центром планового відновлення</w:t>
      </w:r>
      <w:r w:rsidR="0065384D">
        <w:t xml:space="preserve"> – не </w:t>
      </w:r>
      <w:proofErr w:type="spellStart"/>
      <w:r w:rsidR="0065384D">
        <w:t>лище</w:t>
      </w:r>
      <w:proofErr w:type="spellEnd"/>
      <w:r w:rsidR="0065384D">
        <w:t xml:space="preserve"> для </w:t>
      </w:r>
      <w:proofErr w:type="spellStart"/>
      <w:r w:rsidR="0065384D">
        <w:t>черкащан</w:t>
      </w:r>
      <w:proofErr w:type="spellEnd"/>
      <w:r w:rsidR="0065384D">
        <w:t>, але й</w:t>
      </w:r>
      <w:r w:rsidR="00846A58">
        <w:t xml:space="preserve"> для жителів Смілянського та </w:t>
      </w:r>
      <w:proofErr w:type="spellStart"/>
      <w:r w:rsidR="00846A58">
        <w:t>Золотоніського</w:t>
      </w:r>
      <w:proofErr w:type="spellEnd"/>
      <w:r w:rsidR="00846A58">
        <w:t xml:space="preserve"> районів Черкаської області</w:t>
      </w:r>
      <w:r w:rsidR="0065384D">
        <w:t xml:space="preserve"> та самих цих двох міст</w:t>
      </w:r>
      <w:r w:rsidR="008C11A4">
        <w:t xml:space="preserve"> (що і трапляється насправді)</w:t>
      </w:r>
      <w:r w:rsidR="0065384D">
        <w:t xml:space="preserve">. </w:t>
      </w:r>
      <w:r w:rsidR="008C11A4">
        <w:t>Потужності лікар</w:t>
      </w:r>
      <w:r w:rsidR="00052CAF">
        <w:t>ень</w:t>
      </w:r>
      <w:r w:rsidR="008C11A4">
        <w:t xml:space="preserve"> дозволять ї</w:t>
      </w:r>
      <w:r w:rsidR="00052CAF">
        <w:t>м</w:t>
      </w:r>
      <w:r w:rsidR="008C11A4">
        <w:t xml:space="preserve"> надавати великий обсяг послуг високої якості (завдяки потоку пацієнтів), а розташування – обслуговувати відносно густонаселені території кількох суміжних районів.</w:t>
      </w:r>
      <w:r w:rsidR="00052CAF">
        <w:t xml:space="preserve"> </w:t>
      </w:r>
      <w:r w:rsidR="00FE6EBD">
        <w:t xml:space="preserve">Вартість послуги, завдяки великим обсягам, буде знижуватися, а якість – зростати. </w:t>
      </w:r>
    </w:p>
    <w:p w14:paraId="4214AA65" w14:textId="7EA6A772" w:rsidR="00B4226F" w:rsidRDefault="0028177B" w:rsidP="00A70F50">
      <w:pPr>
        <w:spacing w:before="240"/>
        <w:jc w:val="both"/>
      </w:pPr>
      <w:r>
        <w:t>Таким чином, активні закупівлі з боку</w:t>
      </w:r>
      <w:r w:rsidR="003A47C4">
        <w:t xml:space="preserve"> єдиного</w:t>
      </w:r>
      <w:r>
        <w:t xml:space="preserve"> замовника будуть сприяти росту потужностей цих закладів</w:t>
      </w:r>
      <w:r w:rsidR="00B4226F">
        <w:t>, розвитку їх інфраструктури</w:t>
      </w:r>
      <w:r>
        <w:t xml:space="preserve"> та</w:t>
      </w:r>
      <w:r w:rsidR="00B4226F">
        <w:t>, відповідно,</w:t>
      </w:r>
      <w:r>
        <w:t xml:space="preserve"> покращенню послуг </w:t>
      </w:r>
      <w:r w:rsidR="00B4226F">
        <w:t>для людей</w:t>
      </w:r>
      <w:r>
        <w:t xml:space="preserve">. </w:t>
      </w:r>
      <w:r w:rsidR="00C819A8">
        <w:t>Завдяки синергії між двома лікарнями можливе замовлення компле</w:t>
      </w:r>
      <w:r w:rsidR="00B4226F">
        <w:t>к</w:t>
      </w:r>
      <w:r w:rsidR="00C819A8">
        <w:t>сної послуги – лікування та відновлення</w:t>
      </w:r>
      <w:r w:rsidR="00B4226F">
        <w:t xml:space="preserve"> – високої якості та у великих обсягах. </w:t>
      </w:r>
      <w:r w:rsidR="00E8312C">
        <w:t xml:space="preserve">Смілянська та </w:t>
      </w:r>
      <w:proofErr w:type="spellStart"/>
      <w:r w:rsidR="00E8312C">
        <w:t>Золотоніська</w:t>
      </w:r>
      <w:proofErr w:type="spellEnd"/>
      <w:r w:rsidR="00E8312C">
        <w:t xml:space="preserve"> районні лікарні, в свою чергу, зможуть зосередити свої потужності на інтенсивному лікуванні інсультів для мешканців своїх районів.</w:t>
      </w:r>
    </w:p>
    <w:p w14:paraId="2DD9B457" w14:textId="4BF0615E" w:rsidR="0028177B" w:rsidRDefault="00B4226F" w:rsidP="00A70F50">
      <w:pPr>
        <w:spacing w:before="240"/>
        <w:jc w:val="both"/>
      </w:pPr>
      <w:r>
        <w:t xml:space="preserve">Якщо закупівлі будуть </w:t>
      </w:r>
      <w:r w:rsidR="003A47C4">
        <w:t>здійснюватися</w:t>
      </w:r>
      <w:r>
        <w:t xml:space="preserve"> незалежним замовником на рівні Черкаського, Смілянського та </w:t>
      </w:r>
      <w:proofErr w:type="spellStart"/>
      <w:r>
        <w:t>Золотоніського</w:t>
      </w:r>
      <w:proofErr w:type="spellEnd"/>
      <w:r>
        <w:t xml:space="preserve"> районів окремо</w:t>
      </w:r>
      <w:r w:rsidR="00E8312C">
        <w:t xml:space="preserve"> (а ще гірше – районною владою, яка володіє закладами)</w:t>
      </w:r>
      <w:r>
        <w:t>, буде відбуватися зворотній процес. Кожен з центрів районів буде прагнути до створення повного комплексу послуг в своїх</w:t>
      </w:r>
      <w:r w:rsidR="00B050CB">
        <w:t xml:space="preserve"> районних</w:t>
      </w:r>
      <w:r>
        <w:t xml:space="preserve"> лікарнях. </w:t>
      </w:r>
      <w:r w:rsidR="005D4A80">
        <w:t>Найбільш імовірно, що на базі</w:t>
      </w:r>
      <w:r w:rsidR="00E930D5">
        <w:t>, наприклад,</w:t>
      </w:r>
      <w:r w:rsidR="005D4A80">
        <w:t xml:space="preserve"> Смілянської ЦРЛ неврологічне відділення </w:t>
      </w:r>
      <w:r w:rsidR="00E8312C">
        <w:t>буде намагатися надавати і інте</w:t>
      </w:r>
      <w:r w:rsidR="005D4A80">
        <w:t>н</w:t>
      </w:r>
      <w:r w:rsidR="00E8312C">
        <w:t>с</w:t>
      </w:r>
      <w:r w:rsidR="005D4A80">
        <w:t xml:space="preserve">ивну допомогу, і лікування, і послуги з відновлення. </w:t>
      </w:r>
      <w:r w:rsidR="00E930D5">
        <w:t>Оскільки потік пацієнтів буде відносно невеликим (в тому числі через природний потік пацієнтів до Черкас), якість послуг буде невисокою, а лікарня буде постійно відчувати фінансовий дефіцит.</w:t>
      </w:r>
      <w:r w:rsidR="00B56395">
        <w:t xml:space="preserve"> Черкаська міська лікарня також відчує зниження потоку пацієнтів зі Сміли та Золотоноші (гроші на цих пацієнтів будуть у відповідних районах). Таким чином, замість потужного регіонального </w:t>
      </w:r>
      <w:r w:rsidR="00E8312C">
        <w:t>кластеру</w:t>
      </w:r>
      <w:r w:rsidR="00B56395">
        <w:t xml:space="preserve"> з двох сильних лікарень</w:t>
      </w:r>
      <w:r w:rsidR="00E8312C">
        <w:t xml:space="preserve"> повного циклу в Черкасах</w:t>
      </w:r>
      <w:r w:rsidR="00B56395">
        <w:t xml:space="preserve"> </w:t>
      </w:r>
      <w:r w:rsidR="00E8312C">
        <w:t>та двох ЦРЛ, зосереджених на інтенсивній допомозі</w:t>
      </w:r>
      <w:r w:rsidR="00B56395">
        <w:t xml:space="preserve">, область отримає три погано розвинені лікарні повного циклу лікування з послугами невисокої якості. </w:t>
      </w:r>
      <w:r w:rsidR="00E930D5">
        <w:t xml:space="preserve">  </w:t>
      </w:r>
      <w:r w:rsidR="005D4A80">
        <w:t xml:space="preserve"> </w:t>
      </w:r>
      <w:r>
        <w:t xml:space="preserve"> </w:t>
      </w:r>
    </w:p>
    <w:p w14:paraId="13E84AAB" w14:textId="77777777" w:rsidR="008749A7" w:rsidRDefault="004D3E44" w:rsidP="00332E3A">
      <w:pPr>
        <w:jc w:val="both"/>
      </w:pPr>
      <w:r>
        <w:t>З</w:t>
      </w:r>
      <w:r w:rsidR="008749A7">
        <w:t xml:space="preserve">а деякими </w:t>
      </w:r>
      <w:r w:rsidR="00332E3A">
        <w:t>захворюваннями</w:t>
      </w:r>
      <w:r w:rsidR="00574A6A">
        <w:t>, що не потребують ургентного лікування,</w:t>
      </w:r>
      <w:r w:rsidR="00332E3A">
        <w:t xml:space="preserve"> є сенс утворювати експертні центри – відділення, в яких кваліфікація лікарів, якість обладнання та потік пацієнтів знаходяться на максимально високому рівні. </w:t>
      </w:r>
      <w:r w:rsidR="00574A6A">
        <w:t xml:space="preserve">Наприклад, </w:t>
      </w:r>
      <w:r w:rsidR="00914CCF">
        <w:t>може виявитися, щ</w:t>
      </w:r>
      <w:r w:rsidR="0013290D">
        <w:t>о найкращі показники у лікуванні</w:t>
      </w:r>
      <w:r w:rsidR="00914CCF">
        <w:t xml:space="preserve"> катаракти мають дві лікарні в </w:t>
      </w:r>
      <w:proofErr w:type="spellStart"/>
      <w:r w:rsidR="00914CCF">
        <w:t>м.Черкаси</w:t>
      </w:r>
      <w:proofErr w:type="spellEnd"/>
      <w:r w:rsidR="00914CCF">
        <w:t xml:space="preserve">, одна з яких є державною (належить громаді), інша – приватною. </w:t>
      </w:r>
      <w:r w:rsidR="00B16767">
        <w:t>Незалежний замовник зможе закуповувати увесь обсяг послуг з лікування катаракти лише в цих двох лікарнях, забезпечуючи</w:t>
      </w:r>
      <w:r w:rsidR="00153227">
        <w:t xml:space="preserve"> найкращу якість (за рахунок обладнання та досвіду) та нижчу вартість (за рахунок велико</w:t>
      </w:r>
      <w:r>
        <w:t xml:space="preserve">го обсягу замовлень), а також </w:t>
      </w:r>
      <w:r w:rsidR="00B16767">
        <w:t xml:space="preserve">конкуренцію між ними.  </w:t>
      </w:r>
      <w:r w:rsidR="00914CCF">
        <w:t xml:space="preserve">  </w:t>
      </w:r>
      <w:r w:rsidR="00574A6A">
        <w:t xml:space="preserve"> </w:t>
      </w:r>
    </w:p>
    <w:p w14:paraId="51854C86" w14:textId="77777777" w:rsidR="000C2E5F" w:rsidRDefault="00C75206" w:rsidP="00597D33">
      <w:pPr>
        <w:jc w:val="both"/>
      </w:pPr>
      <w:r>
        <w:lastRenderedPageBreak/>
        <w:t xml:space="preserve">В іншому випадку, кожен район буде прагнути </w:t>
      </w:r>
      <w:r w:rsidR="008749A7">
        <w:t>розбудовувати максимальні потужності за кожним напрямком лікування</w:t>
      </w:r>
      <w:r w:rsidR="00BF0096">
        <w:t>, продовжуючи радянську практику дублювання функцій, лише в умовах</w:t>
      </w:r>
      <w:r w:rsidR="001A171D">
        <w:t xml:space="preserve"> нових</w:t>
      </w:r>
      <w:r w:rsidR="00BF0096">
        <w:t xml:space="preserve"> адміністративно-територіальних одиниць</w:t>
      </w:r>
      <w:r w:rsidR="008749A7">
        <w:t xml:space="preserve">. </w:t>
      </w:r>
      <w:r w:rsidR="001A171D">
        <w:t>Районні замовники</w:t>
      </w:r>
      <w:r w:rsidR="008A351D">
        <w:t xml:space="preserve"> будуть замовляти послуги з лікування катаракти у невеликому офтальмологічному відділенні місцевої лікарні, яке буде мати невелику потужність та гірше обладнання (а відтак і гірші навички лікарів), а також жодного конкурента. </w:t>
      </w:r>
      <w:r w:rsidR="001A171D">
        <w:t>В результаті</w:t>
      </w:r>
      <w:r w:rsidR="008A351D">
        <w:t xml:space="preserve"> жителі </w:t>
      </w:r>
      <w:r w:rsidR="001A171D">
        <w:t>районів</w:t>
      </w:r>
      <w:r w:rsidR="008A351D">
        <w:t xml:space="preserve"> отримають гірші послуги</w:t>
      </w:r>
      <w:r w:rsidR="001A171D">
        <w:t xml:space="preserve"> вищої вартості та</w:t>
      </w:r>
      <w:r w:rsidR="008A351D">
        <w:t xml:space="preserve"> відсутн</w:t>
      </w:r>
      <w:r w:rsidR="001A171D">
        <w:t>ість</w:t>
      </w:r>
      <w:r w:rsidR="008A351D">
        <w:t xml:space="preserve"> альтернатив.  </w:t>
      </w:r>
      <w:r w:rsidR="00E2304A">
        <w:t xml:space="preserve"> </w:t>
      </w:r>
    </w:p>
    <w:p w14:paraId="01D598AF" w14:textId="77777777" w:rsidR="00AD014D" w:rsidRDefault="00E13AC5" w:rsidP="00BD0851">
      <w:pPr>
        <w:jc w:val="both"/>
      </w:pPr>
      <w:r>
        <w:t>Незалежність замовника послуг, його висока функціональна спроможність</w:t>
      </w:r>
      <w:r w:rsidR="00BD0851">
        <w:t xml:space="preserve"> та розташування на тому рівні, який об’єднує увесь цикл допомоги більшості медичних станів (регіональному рівні) – ключов</w:t>
      </w:r>
      <w:r w:rsidR="00AD014D">
        <w:t xml:space="preserve">а передумова оптимізації лікарняної мережі у </w:t>
      </w:r>
      <w:r w:rsidR="00AD014D" w:rsidRPr="00AD014D">
        <w:rPr>
          <w:i/>
        </w:rPr>
        <w:t>природний</w:t>
      </w:r>
      <w:r w:rsidR="00AD014D">
        <w:t xml:space="preserve"> спосіб.</w:t>
      </w:r>
      <w:r w:rsidR="00BD0851">
        <w:t xml:space="preserve"> </w:t>
      </w:r>
      <w:r w:rsidR="00AD014D">
        <w:t xml:space="preserve">Лише такий формат закупівель послуг дозволяє мати важелі для планування допомоги на рівні повного циклу її надання, появи економії на масштабі та конкуренції між закладами.  </w:t>
      </w:r>
    </w:p>
    <w:p w14:paraId="7A4F298B" w14:textId="5F142C85" w:rsidR="00BF0096" w:rsidRPr="00D16130" w:rsidRDefault="00AD014D" w:rsidP="00BD0851">
      <w:pPr>
        <w:jc w:val="both"/>
      </w:pPr>
      <w:r>
        <w:t>Р</w:t>
      </w:r>
      <w:r w:rsidR="00BF0096">
        <w:t>еформ</w:t>
      </w:r>
      <w:r>
        <w:t>а</w:t>
      </w:r>
      <w:r w:rsidR="00BF0096">
        <w:t xml:space="preserve"> охорони здоров’я </w:t>
      </w:r>
      <w:r>
        <w:t>передбачає</w:t>
      </w:r>
      <w:r w:rsidR="00017E31">
        <w:t xml:space="preserve"> </w:t>
      </w:r>
      <w:r w:rsidR="00E13AC5">
        <w:t>створення</w:t>
      </w:r>
      <w:r>
        <w:t xml:space="preserve"> національного та регіональних Генеральних планів лікарень</w:t>
      </w:r>
      <w:r w:rsidR="003A47C4">
        <w:rPr>
          <w:rStyle w:val="a6"/>
        </w:rPr>
        <w:footnoteReference w:id="13"/>
      </w:r>
      <w:r>
        <w:t>, які дадуть можливість спроектувати такі структури мереж кожної області, які будуть найкраще відповідати реальним потребам у медичних послугах</w:t>
      </w:r>
      <w:r w:rsidR="005714E2">
        <w:t xml:space="preserve"> на рівні повного циклу </w:t>
      </w:r>
      <w:r w:rsidR="005714E2" w:rsidRPr="00D16130">
        <w:t>послуг</w:t>
      </w:r>
      <w:r w:rsidRPr="00D16130">
        <w:t xml:space="preserve">.  </w:t>
      </w:r>
    </w:p>
    <w:p w14:paraId="34BA4E5C" w14:textId="1C71D638" w:rsidR="00064D6A" w:rsidRDefault="00064D6A" w:rsidP="00BD0851">
      <w:pPr>
        <w:jc w:val="both"/>
      </w:pPr>
      <w:r w:rsidRPr="00D16130">
        <w:t>Місцеві органи влади – власники медичних закладів можуть брати участь у поліпшенні інфраструктури, забезпеченні обладнанням згідно з генеральними планами лікарень, а також спеціалізованими авто швидкої допомоги. Кошти національного фінансування будуть спрямовані на поточні видатки для надання послуг, в той час як інвестиції в інфраструктуру не будуть входити до обов’язків національного єдиного платника</w:t>
      </w:r>
      <w:r w:rsidRPr="00D16130">
        <w:rPr>
          <w:rStyle w:val="a6"/>
        </w:rPr>
        <w:footnoteReference w:id="14"/>
      </w:r>
      <w:r w:rsidRPr="00D16130">
        <w:t>.</w:t>
      </w:r>
    </w:p>
    <w:p w14:paraId="49F9ADA3" w14:textId="2B5CB6B7" w:rsidR="00F015A1" w:rsidRPr="005E5943" w:rsidRDefault="001B218B" w:rsidP="00F015A1">
      <w:pPr>
        <w:pStyle w:val="1"/>
      </w:pPr>
      <w:r>
        <w:t>Етапи п</w:t>
      </w:r>
      <w:r w:rsidR="00F015A1">
        <w:t>ерех</w:t>
      </w:r>
      <w:r>
        <w:t>о</w:t>
      </w:r>
      <w:r w:rsidR="00F015A1">
        <w:t>д</w:t>
      </w:r>
      <w:r>
        <w:t>у</w:t>
      </w:r>
      <w:r w:rsidR="00F015A1">
        <w:t xml:space="preserve"> на нову модель надання послуг</w:t>
      </w:r>
    </w:p>
    <w:p w14:paraId="0A87259A" w14:textId="72F4597B" w:rsidR="00F95C95" w:rsidRDefault="00315927" w:rsidP="00156B9E">
      <w:pPr>
        <w:jc w:val="both"/>
      </w:pPr>
      <w:r>
        <w:t>Реформа системи охорони здоров’я передбачає, що в</w:t>
      </w:r>
      <w:r w:rsidR="007E0899">
        <w:t xml:space="preserve"> найближчі два роки</w:t>
      </w:r>
      <w:r w:rsidR="00C43A94">
        <w:t xml:space="preserve"> будуть у великій мірі завершені два основні процеси.</w:t>
      </w:r>
      <w:r w:rsidR="007E0899">
        <w:t xml:space="preserve"> </w:t>
      </w:r>
      <w:r w:rsidR="00C43A94">
        <w:t>Перший – перехід на систему оплати результатів (послуг), а не ресурсів (потужностей)</w:t>
      </w:r>
      <w:r w:rsidR="0014127B">
        <w:t>. На практиці медичні заклади перейдуть на контрактні відносини з замовником послуг</w:t>
      </w:r>
      <w:r w:rsidR="0014443A">
        <w:rPr>
          <w:rStyle w:val="a6"/>
        </w:rPr>
        <w:footnoteReference w:id="15"/>
      </w:r>
      <w:r w:rsidR="00156B9E">
        <w:t xml:space="preserve">. </w:t>
      </w:r>
      <w:r w:rsidR="00F95C95">
        <w:t>В контрактах будуть обумовлені о</w:t>
      </w:r>
      <w:r w:rsidR="00156B9E">
        <w:t>бсяг</w:t>
      </w:r>
      <w:r w:rsidR="00F95C95">
        <w:t>и</w:t>
      </w:r>
      <w:r w:rsidR="00156B9E">
        <w:t xml:space="preserve"> та види послуг</w:t>
      </w:r>
      <w:r w:rsidR="00F95C95">
        <w:t xml:space="preserve"> – в межах </w:t>
      </w:r>
      <w:r w:rsidR="00156B9E">
        <w:t>гарантованого державою</w:t>
      </w:r>
      <w:r w:rsidR="00F95C95">
        <w:t xml:space="preserve"> </w:t>
      </w:r>
      <w:r w:rsidR="007A6ACA">
        <w:t>обсягу</w:t>
      </w:r>
      <w:r w:rsidR="00156B9E">
        <w:t xml:space="preserve">. </w:t>
      </w:r>
      <w:r w:rsidR="00F95C95">
        <w:t>Другий – розмежування замовника та постачальника послуг. На практиці це буде означати:</w:t>
      </w:r>
    </w:p>
    <w:p w14:paraId="7DBA412F" w14:textId="47583A82" w:rsidR="00F95C95" w:rsidRDefault="00F95C95" w:rsidP="00F95C95">
      <w:pPr>
        <w:pStyle w:val="a7"/>
        <w:numPr>
          <w:ilvl w:val="0"/>
          <w:numId w:val="2"/>
        </w:numPr>
        <w:jc w:val="both"/>
      </w:pPr>
      <w:r>
        <w:t xml:space="preserve">З одного боку, створення автономного постачальника. Лікарнями буде управляти менеджмент, </w:t>
      </w:r>
      <w:r w:rsidR="00213552">
        <w:t>який</w:t>
      </w:r>
      <w:r>
        <w:t xml:space="preserve"> буде нести відповідальність за їх утримання. Власники закладів – громади в особі органів місцевого самоврядування – будуть брати участь в управлінні лише на стратегічному рівні </w:t>
      </w:r>
      <w:r w:rsidR="00213552">
        <w:t>через участь в наглядових радах</w:t>
      </w:r>
      <w:r w:rsidR="00287ED6">
        <w:rPr>
          <w:rStyle w:val="a6"/>
        </w:rPr>
        <w:footnoteReference w:id="16"/>
      </w:r>
      <w:r w:rsidR="00213552">
        <w:t xml:space="preserve">. Власники закладів (громади) матимуть змогу </w:t>
      </w:r>
      <w:r w:rsidR="001A3EC5">
        <w:t xml:space="preserve">робити капітальні інвестиції, фінансувати додаткові послуги (поза гарантованим державою </w:t>
      </w:r>
      <w:r w:rsidR="007A6ACA">
        <w:t>обсягом</w:t>
      </w:r>
      <w:r w:rsidR="001A3EC5">
        <w:t>) тощо, однак не матимуть змоги замовляти гарантовані державою послуги у закладів, які їм належать.</w:t>
      </w:r>
      <w:r w:rsidR="00213552">
        <w:t xml:space="preserve"> </w:t>
      </w:r>
    </w:p>
    <w:p w14:paraId="6D63A9C6" w14:textId="1EC95DC7" w:rsidR="007E0899" w:rsidRDefault="00F95C95" w:rsidP="00F95C95">
      <w:pPr>
        <w:pStyle w:val="a7"/>
        <w:numPr>
          <w:ilvl w:val="0"/>
          <w:numId w:val="2"/>
        </w:numPr>
        <w:jc w:val="both"/>
      </w:pPr>
      <w:r>
        <w:t xml:space="preserve">З іншого боку, створення незалежного </w:t>
      </w:r>
      <w:r w:rsidR="007A6ACA">
        <w:t xml:space="preserve">єдиного </w:t>
      </w:r>
      <w:r>
        <w:t xml:space="preserve">замовника. </w:t>
      </w:r>
      <w:r w:rsidR="0051325B">
        <w:t xml:space="preserve">Спочатку відділи </w:t>
      </w:r>
      <w:r w:rsidR="00213552">
        <w:t>при органах влади</w:t>
      </w:r>
      <w:r w:rsidR="00AA0642">
        <w:t xml:space="preserve"> обласного рівня</w:t>
      </w:r>
      <w:r w:rsidR="00213552">
        <w:t>, а потім – Національна агенція з фінансування будуть повністю відмежовані від володіння закладами охорони здоров’я.</w:t>
      </w:r>
      <w:r w:rsidR="00714DD5">
        <w:t xml:space="preserve"> Тільки така структура зможе якісно здійснювати активні закупівлі послуг </w:t>
      </w:r>
      <w:r w:rsidR="00287ED6">
        <w:t>на противагу</w:t>
      </w:r>
      <w:r w:rsidR="00714DD5">
        <w:t xml:space="preserve"> їх пасивному утриманню. Для </w:t>
      </w:r>
      <w:r w:rsidR="00287ED6">
        <w:t>незалежної</w:t>
      </w:r>
      <w:r w:rsidR="00714DD5">
        <w:t xml:space="preserve"> агенції є</w:t>
      </w:r>
      <w:r w:rsidR="00070759">
        <w:t xml:space="preserve">диним вагомим критерієм </w:t>
      </w:r>
      <w:r w:rsidR="00714DD5">
        <w:t>для</w:t>
      </w:r>
      <w:r w:rsidR="00F94651">
        <w:t xml:space="preserve"> вибору закладу для</w:t>
      </w:r>
      <w:r w:rsidR="00714DD5">
        <w:t xml:space="preserve"> замовлення </w:t>
      </w:r>
      <w:r w:rsidR="00714DD5">
        <w:lastRenderedPageBreak/>
        <w:t>послуг</w:t>
      </w:r>
      <w:r w:rsidR="00213552">
        <w:t xml:space="preserve"> </w:t>
      </w:r>
      <w:r w:rsidR="00714DD5">
        <w:t xml:space="preserve">буде </w:t>
      </w:r>
      <w:r w:rsidR="00F94651">
        <w:t xml:space="preserve">його </w:t>
      </w:r>
      <w:r w:rsidR="00714DD5">
        <w:t>спроможність надати їх у необхідному об’ємі та необхідної якості</w:t>
      </w:r>
      <w:r w:rsidR="00F94651">
        <w:t>, а зовсім не форма власності чи політичні мотиви</w:t>
      </w:r>
      <w:r w:rsidR="00714DD5">
        <w:t xml:space="preserve">. </w:t>
      </w:r>
      <w:r w:rsidR="00213552">
        <w:t xml:space="preserve"> </w:t>
      </w:r>
      <w:r>
        <w:t xml:space="preserve"> </w:t>
      </w:r>
      <w:r w:rsidR="00C43A94">
        <w:t xml:space="preserve"> </w:t>
      </w:r>
    </w:p>
    <w:p w14:paraId="1286736C" w14:textId="190FA9A2" w:rsidR="007A6ACA" w:rsidRPr="007A6ACA" w:rsidRDefault="007A6ACA" w:rsidP="007A6ACA">
      <w:pPr>
        <w:pStyle w:val="a3"/>
        <w:keepNext/>
        <w:jc w:val="both"/>
        <w:rPr>
          <w:sz w:val="20"/>
          <w:szCs w:val="20"/>
        </w:rPr>
      </w:pPr>
      <w:r w:rsidRPr="007A6ACA">
        <w:rPr>
          <w:sz w:val="20"/>
          <w:szCs w:val="20"/>
        </w:rPr>
        <w:fldChar w:fldCharType="begin"/>
      </w:r>
      <w:r w:rsidRPr="007A6ACA">
        <w:rPr>
          <w:sz w:val="20"/>
          <w:szCs w:val="20"/>
        </w:rPr>
        <w:instrText xml:space="preserve"> SEQ Рисунок \* ARABIC </w:instrText>
      </w:r>
      <w:r w:rsidRPr="007A6ACA">
        <w:rPr>
          <w:sz w:val="20"/>
          <w:szCs w:val="20"/>
        </w:rPr>
        <w:fldChar w:fldCharType="separate"/>
      </w:r>
      <w:r w:rsidRPr="007A6ACA">
        <w:rPr>
          <w:noProof/>
          <w:sz w:val="20"/>
          <w:szCs w:val="20"/>
        </w:rPr>
        <w:t>5</w:t>
      </w:r>
      <w:r w:rsidRPr="007A6ACA">
        <w:rPr>
          <w:sz w:val="20"/>
          <w:szCs w:val="20"/>
        </w:rPr>
        <w:fldChar w:fldCharType="end"/>
      </w:r>
      <w:r w:rsidRPr="007A6ACA">
        <w:rPr>
          <w:sz w:val="20"/>
          <w:szCs w:val="20"/>
        </w:rPr>
        <w:t xml:space="preserve">. </w:t>
      </w:r>
      <w:r w:rsidR="00AA69A3" w:rsidRPr="00D16130">
        <w:rPr>
          <w:sz w:val="20"/>
          <w:szCs w:val="20"/>
        </w:rPr>
        <w:t>Поетапний п</w:t>
      </w:r>
      <w:r w:rsidRPr="00D16130">
        <w:rPr>
          <w:sz w:val="20"/>
          <w:szCs w:val="20"/>
        </w:rPr>
        <w:t>лан переходу до нової моделі фінансування охорони здоров’я</w:t>
      </w:r>
    </w:p>
    <w:p w14:paraId="2374FAF5" w14:textId="7AF75DE5" w:rsidR="00226433" w:rsidRDefault="00AA0642" w:rsidP="00F94651">
      <w:pPr>
        <w:jc w:val="both"/>
      </w:pPr>
      <w:r>
        <w:rPr>
          <w:noProof/>
          <w:lang w:eastAsia="uk-UA"/>
        </w:rPr>
        <w:drawing>
          <wp:inline distT="0" distB="0" distL="0" distR="0" wp14:anchorId="7EDA08B5" wp14:editId="7169B75A">
            <wp:extent cx="5486400" cy="3200400"/>
            <wp:effectExtent l="38100" t="0" r="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B5B8ACF" w14:textId="630AFC1F" w:rsidR="00F94651" w:rsidRDefault="007A6ACA" w:rsidP="00F94651">
      <w:pPr>
        <w:jc w:val="both"/>
      </w:pPr>
      <w:r>
        <w:t xml:space="preserve">Для переходу на принципово нову модель фінансування уряд може використовувати еволюційний підхід. </w:t>
      </w:r>
      <w:r w:rsidR="0004222B">
        <w:t>По-перше, протягом двох років слід залишати основним механізмом ф</w:t>
      </w:r>
      <w:r w:rsidR="009F20C2">
        <w:t>інансування медичну субвенці</w:t>
      </w:r>
      <w:r w:rsidR="009F20C2" w:rsidRPr="00D16130">
        <w:t xml:space="preserve">ю. </w:t>
      </w:r>
      <w:r w:rsidR="0004222B" w:rsidRPr="00D16130">
        <w:t xml:space="preserve">Паралельно слід одразу взятися до </w:t>
      </w:r>
      <w:r w:rsidRPr="00D16130">
        <w:t xml:space="preserve">поступового формування спроможності </w:t>
      </w:r>
      <w:r w:rsidR="0004222B" w:rsidRPr="00D16130">
        <w:t>до активної</w:t>
      </w:r>
      <w:r w:rsidRPr="00D16130">
        <w:t xml:space="preserve"> закупівлі медичних послуг на рівні регіонів</w:t>
      </w:r>
      <w:r w:rsidR="0004222B" w:rsidRPr="00D16130">
        <w:t>.</w:t>
      </w:r>
      <w:r w:rsidRPr="00D16130">
        <w:t xml:space="preserve"> </w:t>
      </w:r>
      <w:r w:rsidR="0004222B" w:rsidRPr="00D16130">
        <w:t>В</w:t>
      </w:r>
      <w:r w:rsidRPr="00D16130">
        <w:t>же з 2016 року</w:t>
      </w:r>
      <w:r w:rsidR="0004222B" w:rsidRPr="00D16130">
        <w:t xml:space="preserve"> необхідно</w:t>
      </w:r>
      <w:r w:rsidRPr="00D16130">
        <w:t xml:space="preserve"> почати аналізувати обсяги та типи медичних послуг, які надают</w:t>
      </w:r>
      <w:r w:rsidR="0004222B" w:rsidRPr="00D16130">
        <w:t>ь</w:t>
      </w:r>
      <w:r w:rsidRPr="00D16130">
        <w:t xml:space="preserve"> різн</w:t>
      </w:r>
      <w:r w:rsidR="0004222B" w:rsidRPr="00D16130">
        <w:t>і</w:t>
      </w:r>
      <w:r w:rsidRPr="00D16130">
        <w:t xml:space="preserve"> заклад</w:t>
      </w:r>
      <w:r w:rsidR="0004222B" w:rsidRPr="00D16130">
        <w:t>и</w:t>
      </w:r>
      <w:r w:rsidRPr="00D16130">
        <w:t xml:space="preserve"> охорони здоров’я області. </w:t>
      </w:r>
      <w:r w:rsidR="009F20C2" w:rsidRPr="00D16130">
        <w:t>Д</w:t>
      </w:r>
      <w:r w:rsidRPr="00D16130">
        <w:t>ля цього</w:t>
      </w:r>
      <w:r w:rsidR="009F20C2" w:rsidRPr="00D16130">
        <w:t xml:space="preserve"> доцільно</w:t>
      </w:r>
      <w:r w:rsidRPr="00D16130">
        <w:t xml:space="preserve"> використовувати вже створені при управліннях (департаментах) охорони здоров’я обласні медичні інформаційно-аналітичні центри (ОМІАЦ). Такі центри на першому етапі зможуть взяти на себе функцію запровадження сучасних систем управління інформацією охорони здоров’я (HMIS – </w:t>
      </w:r>
      <w:proofErr w:type="spellStart"/>
      <w:r w:rsidRPr="00D16130">
        <w:t>health</w:t>
      </w:r>
      <w:proofErr w:type="spellEnd"/>
      <w:r w:rsidRPr="00D16130">
        <w:t xml:space="preserve"> </w:t>
      </w:r>
      <w:proofErr w:type="spellStart"/>
      <w:r w:rsidRPr="00D16130">
        <w:t>management</w:t>
      </w:r>
      <w:proofErr w:type="spellEnd"/>
      <w:r w:rsidRPr="00D16130">
        <w:t xml:space="preserve"> </w:t>
      </w:r>
      <w:proofErr w:type="spellStart"/>
      <w:r w:rsidRPr="00D16130">
        <w:t>information</w:t>
      </w:r>
      <w:proofErr w:type="spellEnd"/>
      <w:r w:rsidRPr="00D16130">
        <w:t xml:space="preserve"> </w:t>
      </w:r>
      <w:proofErr w:type="spellStart"/>
      <w:r w:rsidRPr="00D16130">
        <w:t>system</w:t>
      </w:r>
      <w:proofErr w:type="spellEnd"/>
      <w:r w:rsidRPr="00D16130">
        <w:t xml:space="preserve">), електронних реєстрів та координувати впровадження </w:t>
      </w:r>
      <w:proofErr w:type="spellStart"/>
      <w:r w:rsidRPr="00D16130">
        <w:t>діагностично</w:t>
      </w:r>
      <w:proofErr w:type="spellEnd"/>
      <w:r w:rsidRPr="00D16130">
        <w:t>-споріднених груп</w:t>
      </w:r>
      <w:r w:rsidR="009F20C2" w:rsidRPr="00D16130">
        <w:t xml:space="preserve"> (інструмент, який дозволяє практикувати принцип «плата за послугу» для складних послуг лікарень вторинного та третинного рівня)</w:t>
      </w:r>
      <w:r w:rsidR="008D649C" w:rsidRPr="00D16130">
        <w:rPr>
          <w:rStyle w:val="a6"/>
        </w:rPr>
        <w:footnoteReference w:id="17"/>
      </w:r>
      <w:r w:rsidR="009F20C2" w:rsidRPr="00D16130">
        <w:t xml:space="preserve">. </w:t>
      </w:r>
      <w:r w:rsidRPr="00D16130">
        <w:t xml:space="preserve">Із заснуванням Національної </w:t>
      </w:r>
      <w:r w:rsidR="009F20C2" w:rsidRPr="00D16130">
        <w:t>а</w:t>
      </w:r>
      <w:r w:rsidRPr="00D16130">
        <w:t xml:space="preserve">генції з фінансування на базі </w:t>
      </w:r>
      <w:r w:rsidR="009F20C2" w:rsidRPr="00D16130">
        <w:t>уже</w:t>
      </w:r>
      <w:r w:rsidRPr="00D16130">
        <w:t xml:space="preserve"> </w:t>
      </w:r>
      <w:r w:rsidR="009F20C2" w:rsidRPr="00D16130">
        <w:t xml:space="preserve">сформованих потужностей </w:t>
      </w:r>
      <w:r w:rsidRPr="00D16130">
        <w:t>ОМІАЦ можна буде сформувати незалежні представництва Агенції на обласному рівні.</w:t>
      </w:r>
      <w:r w:rsidR="00F94651">
        <w:t xml:space="preserve"> </w:t>
      </w:r>
    </w:p>
    <w:p w14:paraId="4A39DFCA" w14:textId="461D2B3E" w:rsidR="00D92498" w:rsidRDefault="00684693" w:rsidP="008D649C">
      <w:pPr>
        <w:jc w:val="both"/>
      </w:pPr>
      <w:r>
        <w:t>В процесі впровадження нової системи уряду важливо уникати двох стратегічних помилок. По-перше, передаючи в перші</w:t>
      </w:r>
      <w:r w:rsidR="00D92498">
        <w:t xml:space="preserve"> два</w:t>
      </w:r>
      <w:r>
        <w:t xml:space="preserve"> роки функції з фінансування разом з утриманням</w:t>
      </w:r>
      <w:r w:rsidR="00A95347">
        <w:t xml:space="preserve"> закладів </w:t>
      </w:r>
      <w:r>
        <w:t>на рівні нижче обласного,</w:t>
      </w:r>
      <w:r w:rsidR="00D92498">
        <w:t xml:space="preserve"> уряд практично унеможливить</w:t>
      </w:r>
      <w:r>
        <w:t xml:space="preserve"> подальше розмежування функції</w:t>
      </w:r>
      <w:r w:rsidR="00D92498">
        <w:t xml:space="preserve"> замовника й постачальника і передачі функції замовника незалежній агенції. Такий крок законсервує нинішню систему відносин, «озброївши» нову місцеву владу додатковими фінансами й </w:t>
      </w:r>
      <w:r w:rsidR="00A95347">
        <w:t>політичними зобов’язаннями</w:t>
      </w:r>
      <w:r w:rsidR="00D92498">
        <w:t>.</w:t>
      </w:r>
      <w:r>
        <w:t xml:space="preserve"> </w:t>
      </w:r>
    </w:p>
    <w:p w14:paraId="6B5F446F" w14:textId="5AB7227D" w:rsidR="005E5943" w:rsidRDefault="00D92498" w:rsidP="008D649C">
      <w:pPr>
        <w:jc w:val="both"/>
      </w:pPr>
      <w:r>
        <w:t>Другою помилкою буде не доведення реформи до кінця і зупинка на етапі передавання функції фінансування обласному рівню влади, без позбавлення її функції утримання закладів.</w:t>
      </w:r>
      <w:r w:rsidR="005C35B1">
        <w:t xml:space="preserve"> </w:t>
      </w:r>
      <w:r>
        <w:t xml:space="preserve">Це призведе до незначного збільшення ефективності, яке можна прийняти за реформу (що відбулося в ході експерименту 2011-2014 років в чотирьох пілотних областях), однак не матиме наслідком зміну фундаментальних вад пострадянської системи. </w:t>
      </w:r>
    </w:p>
    <w:p w14:paraId="40D1448B" w14:textId="2E52EA3F" w:rsidR="0052037E" w:rsidRPr="005E5943" w:rsidRDefault="00190860" w:rsidP="0052037E">
      <w:pPr>
        <w:pStyle w:val="1"/>
      </w:pPr>
      <w:r>
        <w:lastRenderedPageBreak/>
        <w:t>Питання</w:t>
      </w:r>
      <w:r w:rsidR="000D30EF">
        <w:t xml:space="preserve"> до</w:t>
      </w:r>
      <w:r>
        <w:t xml:space="preserve"> подальшого обговорення</w:t>
      </w:r>
      <w:r w:rsidR="000D30EF">
        <w:t xml:space="preserve"> та план </w:t>
      </w:r>
      <w:r w:rsidR="00A95347">
        <w:t>наступних</w:t>
      </w:r>
      <w:r w:rsidR="000D30EF">
        <w:t xml:space="preserve"> дій</w:t>
      </w:r>
    </w:p>
    <w:p w14:paraId="0A101DE4" w14:textId="48694533" w:rsidR="00786F3F" w:rsidRDefault="00786F3F" w:rsidP="00944F70">
      <w:pPr>
        <w:jc w:val="both"/>
      </w:pPr>
      <w:r>
        <w:t xml:space="preserve">Викладена концепція не претендує на </w:t>
      </w:r>
      <w:proofErr w:type="spellStart"/>
      <w:r>
        <w:t>всеохопне</w:t>
      </w:r>
      <w:proofErr w:type="spellEnd"/>
      <w:r>
        <w:t xml:space="preserve"> покриття усіх практичних аспектів реформи та, поза сумнівом, призведе до виникнення ряду питань та проблем, що потребуватимуть вирішення. </w:t>
      </w:r>
    </w:p>
    <w:p w14:paraId="373F69D4" w14:textId="43683761" w:rsidR="00BA3A9A" w:rsidRDefault="00786F3F" w:rsidP="00944F70">
      <w:pPr>
        <w:jc w:val="both"/>
      </w:pPr>
      <w:r>
        <w:t>Зокрема, нижче н</w:t>
      </w:r>
      <w:r w:rsidR="00190860">
        <w:t xml:space="preserve">аведені </w:t>
      </w:r>
      <w:r>
        <w:t>питання, які були підняті</w:t>
      </w:r>
      <w:r w:rsidR="00190860">
        <w:t xml:space="preserve"> </w:t>
      </w:r>
      <w:r>
        <w:t>у</w:t>
      </w:r>
      <w:r w:rsidR="00190860">
        <w:t xml:space="preserve"> обговорен</w:t>
      </w:r>
      <w:r>
        <w:t>нях авторами цього тексту та уже стали предметом їх подальшої роботи</w:t>
      </w:r>
      <w:r w:rsidR="003F5509">
        <w:t xml:space="preserve">.  </w:t>
      </w:r>
    </w:p>
    <w:p w14:paraId="16CBC1FC" w14:textId="6DC9C250" w:rsidR="00B9019A" w:rsidRPr="00D16130" w:rsidRDefault="00190860" w:rsidP="00B9019A">
      <w:pPr>
        <w:spacing w:before="240" w:after="240" w:line="240" w:lineRule="auto"/>
        <w:jc w:val="both"/>
      </w:pPr>
      <w:r w:rsidRPr="00D16130">
        <w:rPr>
          <w:i/>
        </w:rPr>
        <w:t xml:space="preserve">Підпорядкування </w:t>
      </w:r>
      <w:r w:rsidR="00944F70" w:rsidRPr="00D16130">
        <w:rPr>
          <w:i/>
        </w:rPr>
        <w:t xml:space="preserve">єдиного </w:t>
      </w:r>
      <w:r w:rsidRPr="00D16130">
        <w:rPr>
          <w:i/>
        </w:rPr>
        <w:t>замовника послуг (</w:t>
      </w:r>
      <w:r w:rsidR="00944F70" w:rsidRPr="00D16130">
        <w:rPr>
          <w:i/>
        </w:rPr>
        <w:t>Національної агенції</w:t>
      </w:r>
      <w:r w:rsidR="00244F1A" w:rsidRPr="00D16130">
        <w:rPr>
          <w:i/>
        </w:rPr>
        <w:t xml:space="preserve"> з фінансування</w:t>
      </w:r>
      <w:r w:rsidR="00944F70" w:rsidRPr="00D16130">
        <w:rPr>
          <w:i/>
        </w:rPr>
        <w:t>)</w:t>
      </w:r>
      <w:r w:rsidR="00944F70" w:rsidRPr="00D16130">
        <w:t xml:space="preserve">. </w:t>
      </w:r>
      <w:r w:rsidR="00B9019A" w:rsidRPr="00D16130">
        <w:t xml:space="preserve">Існує кілька варіантів її створення: а) як структура в складі органів державної влади (МОЗ, обласних органів охорони здоров’я)  б) як </w:t>
      </w:r>
      <w:proofErr w:type="spellStart"/>
      <w:r w:rsidR="00B9019A" w:rsidRPr="00D16130">
        <w:t>напів</w:t>
      </w:r>
      <w:proofErr w:type="spellEnd"/>
      <w:r w:rsidR="00B9019A" w:rsidRPr="00D16130">
        <w:t xml:space="preserve">-автономна структура, керована через механізм наглядової ради, де представлені ключові органи державної влади, фахова спільнота, пацієнти тощо, і яка надає послуги з фінансування охорони здоров’я в межах державного бюджету та в) як повністю автономна структура (наприклад, приватна), яка надає уряду послуги в форматі </w:t>
      </w:r>
      <w:proofErr w:type="spellStart"/>
      <w:r w:rsidR="00B9019A" w:rsidRPr="00D16130">
        <w:t>аутсорсингу</w:t>
      </w:r>
      <w:proofErr w:type="spellEnd"/>
      <w:r w:rsidR="00B9019A" w:rsidRPr="00D16130">
        <w:t>.</w:t>
      </w:r>
    </w:p>
    <w:p w14:paraId="21DD9D77" w14:textId="77777777" w:rsidR="00B27AD5" w:rsidRPr="00D16130" w:rsidRDefault="00190860" w:rsidP="00B9019A">
      <w:pPr>
        <w:spacing w:before="240" w:after="240" w:line="240" w:lineRule="auto"/>
        <w:jc w:val="both"/>
      </w:pPr>
      <w:r w:rsidRPr="00D16130">
        <w:rPr>
          <w:i/>
        </w:rPr>
        <w:t>Роль місцевих бюджетів і їх вз</w:t>
      </w:r>
      <w:r w:rsidR="00B9019A" w:rsidRPr="00D16130">
        <w:rPr>
          <w:i/>
        </w:rPr>
        <w:t>ає</w:t>
      </w:r>
      <w:r w:rsidR="00C835B3" w:rsidRPr="00D16130">
        <w:rPr>
          <w:i/>
        </w:rPr>
        <w:t>модія з замовником (Національною агенцією)</w:t>
      </w:r>
      <w:r w:rsidR="00C835B3" w:rsidRPr="00D16130">
        <w:t>. Необхідно</w:t>
      </w:r>
      <w:r w:rsidR="00B27AD5" w:rsidRPr="00D16130">
        <w:t xml:space="preserve"> якомога швидше</w:t>
      </w:r>
      <w:r w:rsidR="00C835B3" w:rsidRPr="00D16130">
        <w:t xml:space="preserve"> чітко </w:t>
      </w:r>
      <w:r w:rsidR="00B27AD5" w:rsidRPr="00D16130">
        <w:t>окреслити</w:t>
      </w:r>
      <w:r w:rsidR="00C835B3" w:rsidRPr="00D16130">
        <w:t xml:space="preserve"> </w:t>
      </w:r>
      <w:r w:rsidR="00B27AD5" w:rsidRPr="00D16130">
        <w:t xml:space="preserve">майбутні повноваження органів місцевого самоврядування в сфері охорони здоров’я. </w:t>
      </w:r>
      <w:r w:rsidR="00C835B3" w:rsidRPr="00D16130">
        <w:t xml:space="preserve"> </w:t>
      </w:r>
      <w:r w:rsidR="00B27AD5" w:rsidRPr="00D16130">
        <w:t>Наприклад, буде необхідно дати відповідь на</w:t>
      </w:r>
      <w:r w:rsidR="00082EC6" w:rsidRPr="00D16130">
        <w:t xml:space="preserve"> такі</w:t>
      </w:r>
      <w:r w:rsidR="00B27AD5" w:rsidRPr="00D16130">
        <w:t xml:space="preserve"> питання</w:t>
      </w:r>
      <w:r w:rsidR="00082EC6" w:rsidRPr="00D16130">
        <w:t>:</w:t>
      </w:r>
      <w:r w:rsidR="00B27AD5" w:rsidRPr="00D16130">
        <w:t xml:space="preserve"> яким чином місцева влада зможе замовляти (за місцевий кошт) додаткові послуги у лікарень, що перебувають на контракті з Національною агенцією</w:t>
      </w:r>
      <w:r w:rsidR="00082EC6" w:rsidRPr="00D16130">
        <w:t>?</w:t>
      </w:r>
      <w:r w:rsidR="00B27AD5" w:rsidRPr="00D16130">
        <w:t xml:space="preserve"> Як</w:t>
      </w:r>
      <w:r w:rsidR="00082EC6" w:rsidRPr="00D16130">
        <w:t>ою</w:t>
      </w:r>
      <w:r w:rsidR="00B27AD5" w:rsidRPr="00D16130">
        <w:t xml:space="preserve"> буде мотивація міс</w:t>
      </w:r>
      <w:r w:rsidR="00082EC6" w:rsidRPr="00D16130">
        <w:t>цевої</w:t>
      </w:r>
      <w:r w:rsidR="00B27AD5" w:rsidRPr="00D16130">
        <w:t xml:space="preserve"> влади до розширення саме тієї медичної інфраструктури, яку </w:t>
      </w:r>
      <w:proofErr w:type="spellStart"/>
      <w:r w:rsidR="00B27AD5" w:rsidRPr="00D16130">
        <w:t>обере</w:t>
      </w:r>
      <w:proofErr w:type="spellEnd"/>
      <w:r w:rsidR="00082EC6" w:rsidRPr="00D16130">
        <w:t xml:space="preserve"> для </w:t>
      </w:r>
      <w:proofErr w:type="spellStart"/>
      <w:r w:rsidR="00082EC6" w:rsidRPr="00D16130">
        <w:t>контрактування</w:t>
      </w:r>
      <w:proofErr w:type="spellEnd"/>
      <w:r w:rsidR="00B27AD5" w:rsidRPr="00D16130">
        <w:t xml:space="preserve"> </w:t>
      </w:r>
      <w:r w:rsidR="00082EC6" w:rsidRPr="00D16130">
        <w:t>а</w:t>
      </w:r>
      <w:r w:rsidR="00B27AD5" w:rsidRPr="00D16130">
        <w:t>генція?</w:t>
      </w:r>
      <w:r w:rsidR="00082EC6" w:rsidRPr="00D16130">
        <w:t xml:space="preserve"> Якою буде мотивація до скорочення інфраструктури? Яким чином вирішити політичні питання щодо позбавлення місцевих бюджетів медичної субвенції та їх побоювань щодо втрати контролю над сферою надання медичних послуг на територіях?</w:t>
      </w:r>
    </w:p>
    <w:p w14:paraId="4DEEAB8E" w14:textId="7030602F" w:rsidR="00190860" w:rsidRPr="00D16130" w:rsidRDefault="00190860" w:rsidP="006D77CA">
      <w:pPr>
        <w:spacing w:before="240" w:after="240" w:line="240" w:lineRule="auto"/>
        <w:jc w:val="both"/>
      </w:pPr>
      <w:r w:rsidRPr="00D16130">
        <w:rPr>
          <w:i/>
        </w:rPr>
        <w:t>Фінансові стимули (позитивні і негативні</w:t>
      </w:r>
      <w:r w:rsidR="002F7905" w:rsidRPr="00D16130">
        <w:rPr>
          <w:i/>
        </w:rPr>
        <w:t>) до оптимізації інфраструктури</w:t>
      </w:r>
      <w:r w:rsidR="002F7905" w:rsidRPr="00D16130">
        <w:t xml:space="preserve">. </w:t>
      </w:r>
      <w:r w:rsidR="003F505F" w:rsidRPr="00D16130">
        <w:t xml:space="preserve">Масова оптимізація (скорочення та перепрофілювання) медичної інфраструктури є ключовою вихідною умовою для викладеної вище реформи. </w:t>
      </w:r>
      <w:r w:rsidR="006D77CA" w:rsidRPr="00D16130">
        <w:t>Н</w:t>
      </w:r>
      <w:r w:rsidR="003F505F" w:rsidRPr="00D16130">
        <w:t>еобхідно</w:t>
      </w:r>
      <w:r w:rsidR="006D77CA" w:rsidRPr="00D16130">
        <w:t xml:space="preserve"> чітко уявляти її механізм (хто і як буде приймати рішення щодо оптимізації кожного закладу) та</w:t>
      </w:r>
      <w:r w:rsidR="003F505F" w:rsidRPr="00D16130">
        <w:t xml:space="preserve"> </w:t>
      </w:r>
      <w:proofErr w:type="spellStart"/>
      <w:r w:rsidR="003F505F" w:rsidRPr="00D16130">
        <w:t>реалістично</w:t>
      </w:r>
      <w:proofErr w:type="spellEnd"/>
      <w:r w:rsidR="003F505F" w:rsidRPr="00D16130">
        <w:t xml:space="preserve"> </w:t>
      </w:r>
      <w:r w:rsidR="006D77CA" w:rsidRPr="00D16130">
        <w:t>оцінювати</w:t>
      </w:r>
      <w:r w:rsidR="00244F1A" w:rsidRPr="00D16130">
        <w:t>,</w:t>
      </w:r>
      <w:r w:rsidR="006D77CA" w:rsidRPr="00D16130">
        <w:t xml:space="preserve"> </w:t>
      </w:r>
      <w:r w:rsidR="003F505F" w:rsidRPr="00D16130">
        <w:t>де на її шляху можуть виявитись джерела опору, які необхідно нейтралізувати.</w:t>
      </w:r>
      <w:r w:rsidR="006D77CA" w:rsidRPr="00D16130">
        <w:t xml:space="preserve"> </w:t>
      </w:r>
    </w:p>
    <w:p w14:paraId="03A74945" w14:textId="4CF83B98" w:rsidR="002103F9" w:rsidRPr="00D16130" w:rsidRDefault="00190860" w:rsidP="00AA0642">
      <w:pPr>
        <w:spacing w:before="240" w:after="240" w:line="240" w:lineRule="auto"/>
        <w:jc w:val="both"/>
      </w:pPr>
      <w:r w:rsidRPr="00D16130">
        <w:rPr>
          <w:i/>
        </w:rPr>
        <w:t>Масштаб</w:t>
      </w:r>
      <w:r w:rsidR="008A717F" w:rsidRPr="00D16130">
        <w:rPr>
          <w:i/>
        </w:rPr>
        <w:t>ність змін в</w:t>
      </w:r>
      <w:r w:rsidRPr="00D16130">
        <w:rPr>
          <w:i/>
        </w:rPr>
        <w:t xml:space="preserve"> системи і </w:t>
      </w:r>
      <w:r w:rsidR="008A717F" w:rsidRPr="00D16130">
        <w:rPr>
          <w:i/>
        </w:rPr>
        <w:t xml:space="preserve">узгоджений </w:t>
      </w:r>
      <w:r w:rsidRPr="00D16130">
        <w:rPr>
          <w:i/>
        </w:rPr>
        <w:t>перелік подальших дій</w:t>
      </w:r>
      <w:r w:rsidRPr="00D16130">
        <w:t xml:space="preserve">. </w:t>
      </w:r>
      <w:r w:rsidR="00AA0642" w:rsidRPr="00D16130">
        <w:t>Необхідно узгодити спільну політику у втіленні змін та їх комунікації органам місцевого самоврядування та громадськості. Іншим к</w:t>
      </w:r>
      <w:r w:rsidR="008A717F" w:rsidRPr="00D16130">
        <w:t>ритичним завданням є</w:t>
      </w:r>
      <w:r w:rsidR="002103F9" w:rsidRPr="00D16130">
        <w:t xml:space="preserve"> прорахун</w:t>
      </w:r>
      <w:r w:rsidR="008A717F" w:rsidRPr="00D16130">
        <w:t>ок</w:t>
      </w:r>
      <w:r w:rsidR="002103F9" w:rsidRPr="00D16130">
        <w:t xml:space="preserve"> обсягу законодавчих і бюджетних змін, необхідних для практичного втілення реформи. Зокрема, така оцінка необхідна,  щоб розробити реалістичний план і графік дій. </w:t>
      </w:r>
    </w:p>
    <w:p w14:paraId="43B29217" w14:textId="3F9C63B2" w:rsidR="002103F9" w:rsidRPr="00D16130" w:rsidRDefault="002103F9" w:rsidP="003240B0">
      <w:pPr>
        <w:jc w:val="both"/>
      </w:pPr>
      <w:r w:rsidRPr="00D16130">
        <w:t>На нашу думку, необхідні зміни</w:t>
      </w:r>
      <w:r w:rsidR="004F23C3" w:rsidRPr="00D16130">
        <w:t xml:space="preserve"> </w:t>
      </w:r>
      <w:r w:rsidR="003240B0" w:rsidRPr="00D16130">
        <w:t xml:space="preserve">в законодавстві </w:t>
      </w:r>
      <w:r w:rsidR="004F23C3" w:rsidRPr="00D16130">
        <w:t xml:space="preserve">є, в цілому, </w:t>
      </w:r>
      <w:proofErr w:type="spellStart"/>
      <w:r w:rsidR="004F23C3" w:rsidRPr="00D16130">
        <w:t>осяжними</w:t>
      </w:r>
      <w:proofErr w:type="spellEnd"/>
      <w:r w:rsidR="004F23C3" w:rsidRPr="00D16130">
        <w:t xml:space="preserve"> та</w:t>
      </w:r>
      <w:r w:rsidRPr="00D16130">
        <w:t xml:space="preserve"> </w:t>
      </w:r>
      <w:r w:rsidR="003240B0" w:rsidRPr="00D16130">
        <w:t>лежать в таких</w:t>
      </w:r>
      <w:r w:rsidR="004F23C3" w:rsidRPr="00D16130">
        <w:t xml:space="preserve"> </w:t>
      </w:r>
      <w:proofErr w:type="spellStart"/>
      <w:r w:rsidR="004F23C3" w:rsidRPr="00D16130">
        <w:t>площинах</w:t>
      </w:r>
      <w:proofErr w:type="spellEnd"/>
      <w:r w:rsidR="004F23C3" w:rsidRPr="00D16130">
        <w:t>:</w:t>
      </w:r>
    </w:p>
    <w:p w14:paraId="2423CF96" w14:textId="1BB87C3A" w:rsidR="002103F9" w:rsidRPr="00D16130" w:rsidRDefault="004F23C3" w:rsidP="003240B0">
      <w:pPr>
        <w:pStyle w:val="a7"/>
        <w:numPr>
          <w:ilvl w:val="0"/>
          <w:numId w:val="2"/>
        </w:numPr>
        <w:jc w:val="both"/>
      </w:pPr>
      <w:r w:rsidRPr="00D16130">
        <w:rPr>
          <w:i/>
        </w:rPr>
        <w:t>З</w:t>
      </w:r>
      <w:r w:rsidR="002103F9" w:rsidRPr="00D16130">
        <w:rPr>
          <w:i/>
        </w:rPr>
        <w:t xml:space="preserve">міни в </w:t>
      </w:r>
      <w:r w:rsidRPr="00D16130">
        <w:rPr>
          <w:i/>
        </w:rPr>
        <w:t>обсягах та переліку повноважень.</w:t>
      </w:r>
      <w:r w:rsidRPr="00D16130">
        <w:t xml:space="preserve"> Необхідно</w:t>
      </w:r>
      <w:r w:rsidR="002103F9" w:rsidRPr="00D16130">
        <w:t xml:space="preserve"> </w:t>
      </w:r>
      <w:r w:rsidRPr="00D16130">
        <w:t>с</w:t>
      </w:r>
      <w:r w:rsidR="002103F9" w:rsidRPr="00D16130">
        <w:t>коригува</w:t>
      </w:r>
      <w:r w:rsidRPr="00D16130">
        <w:t>ти</w:t>
      </w:r>
      <w:r w:rsidR="002103F9" w:rsidRPr="00D16130">
        <w:t xml:space="preserve"> перелік</w:t>
      </w:r>
      <w:r w:rsidRPr="00D16130">
        <w:t>и</w:t>
      </w:r>
      <w:r w:rsidR="002103F9" w:rsidRPr="00D16130">
        <w:t xml:space="preserve"> повноважень для кожного з гравців (органів влади різного рівня). Наразі ці повноваження с</w:t>
      </w:r>
      <w:r w:rsidRPr="00D16130">
        <w:t xml:space="preserve">формульовані </w:t>
      </w:r>
      <w:r w:rsidR="002103F9" w:rsidRPr="00D16130">
        <w:t xml:space="preserve">в термінах попередньої системи (як відповідальність за утримання, фінансування та надання послуг) і припускають значну </w:t>
      </w:r>
      <w:proofErr w:type="spellStart"/>
      <w:r w:rsidR="002103F9" w:rsidRPr="00D16130">
        <w:t>суб</w:t>
      </w:r>
      <w:proofErr w:type="spellEnd"/>
      <w:r w:rsidR="002103F9" w:rsidRPr="00D16130">
        <w:t xml:space="preserve">-обласну децентралізацію послуг. </w:t>
      </w:r>
      <w:r w:rsidR="004E4E3D" w:rsidRPr="00D16130">
        <w:t>Цей елемент</w:t>
      </w:r>
      <w:r w:rsidR="002103F9" w:rsidRPr="00D16130">
        <w:t xml:space="preserve"> </w:t>
      </w:r>
      <w:r w:rsidR="004E4E3D" w:rsidRPr="00D16130">
        <w:t>можна</w:t>
      </w:r>
      <w:r w:rsidR="002103F9" w:rsidRPr="00D16130">
        <w:t xml:space="preserve"> </w:t>
      </w:r>
      <w:r w:rsidR="004E4E3D" w:rsidRPr="00D16130">
        <w:t>втілити</w:t>
      </w:r>
      <w:r w:rsidR="002103F9" w:rsidRPr="00D16130">
        <w:t xml:space="preserve"> шляхом внесення змін до Бюджетного кодексу та Закону «Про місцеве самоврядування». </w:t>
      </w:r>
    </w:p>
    <w:p w14:paraId="70BD3A15" w14:textId="001B398D" w:rsidR="002103F9" w:rsidRPr="00D16130" w:rsidRDefault="002103F9" w:rsidP="003240B0">
      <w:pPr>
        <w:pStyle w:val="a7"/>
        <w:numPr>
          <w:ilvl w:val="0"/>
          <w:numId w:val="2"/>
        </w:numPr>
        <w:jc w:val="both"/>
      </w:pPr>
      <w:r w:rsidRPr="00D16130">
        <w:t>Затвердження програмних документів щодо реформи</w:t>
      </w:r>
      <w:r w:rsidR="0052771C" w:rsidRPr="00D16130">
        <w:t xml:space="preserve"> охорони здоров’я</w:t>
      </w:r>
      <w:r w:rsidR="004E4E3D" w:rsidRPr="00D16130">
        <w:t xml:space="preserve">. </w:t>
      </w:r>
      <w:r w:rsidR="0052771C" w:rsidRPr="00D16130">
        <w:t>Слід прийняти документ (документи)</w:t>
      </w:r>
      <w:r w:rsidRPr="00D16130">
        <w:t xml:space="preserve">, які зафіксують обраний курс на середньо- і довго-строкову перспективу. </w:t>
      </w:r>
      <w:r w:rsidR="0052771C" w:rsidRPr="00D16130">
        <w:t>Міністерство охорони здоров’я розробило «Стратегію реформування охорони здоров’я на 2015-2020» та працює над</w:t>
      </w:r>
      <w:r w:rsidRPr="00D16130">
        <w:t xml:space="preserve"> </w:t>
      </w:r>
      <w:r w:rsidR="0052771C" w:rsidRPr="00D16130">
        <w:t>К</w:t>
      </w:r>
      <w:r w:rsidRPr="00D16130">
        <w:t>онцепці</w:t>
      </w:r>
      <w:r w:rsidR="0052771C" w:rsidRPr="00D16130">
        <w:t>єю реформування охорони</w:t>
      </w:r>
      <w:r w:rsidRPr="00D16130">
        <w:t xml:space="preserve"> </w:t>
      </w:r>
      <w:r w:rsidR="0052771C" w:rsidRPr="00D16130">
        <w:t>здоров’я, яка повинна бути прийнята Кабміном як формальний програмний документ. Доповнити їх повинен П</w:t>
      </w:r>
      <w:r w:rsidRPr="00D16130">
        <w:t>лан дій щодо реформування системи, а також внесення відповідних змін в рамковий закон «</w:t>
      </w:r>
      <w:r w:rsidR="0052771C" w:rsidRPr="00D16130">
        <w:t>Основи законодавства в</w:t>
      </w:r>
      <w:r w:rsidRPr="00D16130">
        <w:t xml:space="preserve"> охорон</w:t>
      </w:r>
      <w:r w:rsidR="0052771C" w:rsidRPr="00D16130">
        <w:t>і</w:t>
      </w:r>
      <w:r w:rsidRPr="00D16130">
        <w:t xml:space="preserve"> здоров’я». </w:t>
      </w:r>
    </w:p>
    <w:p w14:paraId="5193F33B" w14:textId="0170D23A" w:rsidR="002103F9" w:rsidRPr="00D16130" w:rsidRDefault="002103F9" w:rsidP="003240B0">
      <w:pPr>
        <w:pStyle w:val="a7"/>
        <w:numPr>
          <w:ilvl w:val="0"/>
          <w:numId w:val="2"/>
        </w:numPr>
        <w:jc w:val="both"/>
      </w:pPr>
      <w:r w:rsidRPr="00D16130">
        <w:t xml:space="preserve">Формальне створення Національної </w:t>
      </w:r>
      <w:r w:rsidR="0052771C" w:rsidRPr="00D16130">
        <w:t>а</w:t>
      </w:r>
      <w:r w:rsidRPr="00D16130">
        <w:t>генції</w:t>
      </w:r>
      <w:r w:rsidR="0052771C" w:rsidRPr="00D16130">
        <w:t xml:space="preserve"> з фінансування. </w:t>
      </w:r>
      <w:r w:rsidRPr="00D16130">
        <w:t xml:space="preserve">Як тільки будуть уточнені принципові питання щодо бажаної моделі цієї агенції (рівень і спосіб підпорядкування, ключові функції), потрібно буде розробити низку </w:t>
      </w:r>
      <w:proofErr w:type="spellStart"/>
      <w:r w:rsidRPr="00D16130">
        <w:t>імплементуючих</w:t>
      </w:r>
      <w:proofErr w:type="spellEnd"/>
      <w:r w:rsidRPr="00D16130">
        <w:t xml:space="preserve"> нормативних актів, </w:t>
      </w:r>
      <w:r w:rsidRPr="00D16130">
        <w:lastRenderedPageBreak/>
        <w:t xml:space="preserve">які </w:t>
      </w:r>
      <w:proofErr w:type="spellStart"/>
      <w:r w:rsidRPr="00D16130">
        <w:t>створять</w:t>
      </w:r>
      <w:proofErr w:type="spellEnd"/>
      <w:r w:rsidRPr="00D16130">
        <w:t xml:space="preserve"> нову </w:t>
      </w:r>
      <w:r w:rsidR="0052771C" w:rsidRPr="00D16130">
        <w:t>а</w:t>
      </w:r>
      <w:r w:rsidRPr="00D16130">
        <w:t>генцію (посилання на неї у відповідних рамкових законах і Бюджетному кодексі, внесення її до числа розпорядників коштів тощо).</w:t>
      </w:r>
    </w:p>
    <w:p w14:paraId="0C143195" w14:textId="7DE6A2EA" w:rsidR="00BA3A9A" w:rsidRPr="00D16130" w:rsidRDefault="00FA425A" w:rsidP="003240B0">
      <w:pPr>
        <w:pStyle w:val="a7"/>
        <w:numPr>
          <w:ilvl w:val="0"/>
          <w:numId w:val="2"/>
        </w:numPr>
        <w:jc w:val="both"/>
      </w:pPr>
      <w:r w:rsidRPr="00D16130">
        <w:t>Насамкінець необхідно буде розробити п</w:t>
      </w:r>
      <w:r w:rsidR="002103F9" w:rsidRPr="00D16130">
        <w:t>роцедурні зміни, пов’язані з запуском закупівельного циклу</w:t>
      </w:r>
      <w:r w:rsidRPr="00D16130">
        <w:t xml:space="preserve"> в сфері медичних послуг.</w:t>
      </w:r>
    </w:p>
    <w:p w14:paraId="08073012" w14:textId="77777777" w:rsidR="00352AE4" w:rsidRPr="00D16130" w:rsidRDefault="00352AE4" w:rsidP="00352AE4">
      <w:pPr>
        <w:jc w:val="both"/>
        <w:rPr>
          <w:i/>
        </w:rPr>
      </w:pPr>
    </w:p>
    <w:p w14:paraId="52F79584" w14:textId="50A32BD4" w:rsidR="00C77F0D" w:rsidRPr="00D16130" w:rsidRDefault="00D16130" w:rsidP="00352AE4">
      <w:pPr>
        <w:jc w:val="both"/>
        <w:rPr>
          <w:i/>
        </w:rPr>
      </w:pPr>
      <w:r>
        <w:rPr>
          <w:i/>
        </w:rPr>
        <w:t>У підготовці документу взяли участь</w:t>
      </w:r>
      <w:r w:rsidR="00352AE4" w:rsidRPr="00D16130">
        <w:rPr>
          <w:i/>
        </w:rPr>
        <w:t xml:space="preserve">: </w:t>
      </w:r>
    </w:p>
    <w:p w14:paraId="14D55596" w14:textId="17CCADA0" w:rsidR="00D16130" w:rsidRDefault="00C77F0D" w:rsidP="00352AE4">
      <w:pPr>
        <w:jc w:val="both"/>
        <w:rPr>
          <w:i/>
        </w:rPr>
      </w:pPr>
      <w:r w:rsidRPr="00D16130">
        <w:rPr>
          <w:i/>
        </w:rPr>
        <w:t>Ігор</w:t>
      </w:r>
      <w:r w:rsidR="00D16130">
        <w:rPr>
          <w:i/>
        </w:rPr>
        <w:t xml:space="preserve"> </w:t>
      </w:r>
      <w:proofErr w:type="spellStart"/>
      <w:r w:rsidR="00D16130">
        <w:rPr>
          <w:i/>
        </w:rPr>
        <w:t>Перегінець</w:t>
      </w:r>
      <w:proofErr w:type="spellEnd"/>
      <w:r w:rsidRPr="00D16130">
        <w:rPr>
          <w:i/>
        </w:rPr>
        <w:t>,</w:t>
      </w:r>
      <w:r w:rsidR="00D16130">
        <w:rPr>
          <w:i/>
        </w:rPr>
        <w:t xml:space="preserve"> Міністерство охорони здоров’я України, заступник міністра</w:t>
      </w:r>
    </w:p>
    <w:p w14:paraId="49120CF8" w14:textId="1212D1EC" w:rsidR="00D16130" w:rsidRDefault="00D16130" w:rsidP="00D16130">
      <w:pPr>
        <w:jc w:val="both"/>
        <w:rPr>
          <w:i/>
        </w:rPr>
      </w:pPr>
      <w:r w:rsidRPr="00D16130">
        <w:rPr>
          <w:i/>
        </w:rPr>
        <w:t>Паоло Беллі</w:t>
      </w:r>
      <w:r>
        <w:rPr>
          <w:i/>
        </w:rPr>
        <w:t>, Світовий банк, керівник програм</w:t>
      </w:r>
    </w:p>
    <w:p w14:paraId="1E1901EA" w14:textId="770C01BB" w:rsidR="00D16130" w:rsidRPr="00D16130" w:rsidRDefault="00D16130" w:rsidP="00D16130">
      <w:pPr>
        <w:jc w:val="both"/>
        <w:rPr>
          <w:i/>
        </w:rPr>
      </w:pPr>
      <w:r>
        <w:rPr>
          <w:i/>
        </w:rPr>
        <w:t xml:space="preserve">Нінель </w:t>
      </w:r>
      <w:proofErr w:type="spellStart"/>
      <w:r>
        <w:rPr>
          <w:i/>
        </w:rPr>
        <w:t>Кадирова</w:t>
      </w:r>
      <w:proofErr w:type="spellEnd"/>
      <w:r>
        <w:rPr>
          <w:i/>
        </w:rPr>
        <w:t xml:space="preserve">, </w:t>
      </w:r>
      <w:r>
        <w:rPr>
          <w:i/>
          <w:lang w:val="en-US"/>
        </w:rPr>
        <w:t>USAID</w:t>
      </w:r>
      <w:r>
        <w:rPr>
          <w:i/>
        </w:rPr>
        <w:t>, радник Міністерства охорони здоров’я України</w:t>
      </w:r>
    </w:p>
    <w:p w14:paraId="10515D74" w14:textId="22AB6037" w:rsidR="00D16130" w:rsidRDefault="00D16130" w:rsidP="00D16130">
      <w:pPr>
        <w:jc w:val="both"/>
        <w:rPr>
          <w:i/>
        </w:rPr>
      </w:pPr>
      <w:r w:rsidRPr="00D16130">
        <w:rPr>
          <w:i/>
        </w:rPr>
        <w:t xml:space="preserve">Юрій </w:t>
      </w:r>
      <w:proofErr w:type="spellStart"/>
      <w:r w:rsidRPr="00D16130">
        <w:rPr>
          <w:i/>
        </w:rPr>
        <w:t>Джигир</w:t>
      </w:r>
      <w:proofErr w:type="spellEnd"/>
      <w:r w:rsidRPr="00D16130">
        <w:rPr>
          <w:i/>
        </w:rPr>
        <w:t>, радник Міністра фінансів України</w:t>
      </w:r>
      <w:r w:rsidRPr="00D16130">
        <w:rPr>
          <w:i/>
        </w:rPr>
        <w:t xml:space="preserve"> </w:t>
      </w:r>
    </w:p>
    <w:p w14:paraId="75B733F6" w14:textId="5600147A" w:rsidR="00D16130" w:rsidRDefault="00D16130" w:rsidP="00352AE4">
      <w:pPr>
        <w:jc w:val="both"/>
        <w:rPr>
          <w:i/>
        </w:rPr>
      </w:pPr>
      <w:r>
        <w:rPr>
          <w:i/>
        </w:rPr>
        <w:t>Олена Дорошенко, Світовий банк</w:t>
      </w:r>
    </w:p>
    <w:p w14:paraId="2396EC6F" w14:textId="5C1E7AB0" w:rsidR="00D16130" w:rsidRDefault="00D16130" w:rsidP="00352AE4">
      <w:pPr>
        <w:jc w:val="both"/>
        <w:rPr>
          <w:i/>
        </w:rPr>
      </w:pPr>
      <w:r>
        <w:rPr>
          <w:i/>
        </w:rPr>
        <w:t>Сергій Марченко, радник Адміністрації Президента України</w:t>
      </w:r>
    </w:p>
    <w:p w14:paraId="42324B60" w14:textId="2559CBEA" w:rsidR="00D16130" w:rsidRPr="00D16130" w:rsidRDefault="00D16130" w:rsidP="00352AE4">
      <w:pPr>
        <w:jc w:val="both"/>
        <w:rPr>
          <w:i/>
        </w:rPr>
      </w:pPr>
      <w:r>
        <w:rPr>
          <w:i/>
        </w:rPr>
        <w:t xml:space="preserve">Павло </w:t>
      </w:r>
      <w:proofErr w:type="spellStart"/>
      <w:r>
        <w:rPr>
          <w:i/>
        </w:rPr>
        <w:t>Ковтонюк</w:t>
      </w:r>
      <w:proofErr w:type="spellEnd"/>
      <w:r>
        <w:rPr>
          <w:i/>
        </w:rPr>
        <w:t>, Національна рада реформ, проектний менеджер (реформа охорони здоров’я)</w:t>
      </w:r>
    </w:p>
    <w:p w14:paraId="540F6636" w14:textId="62684A87" w:rsidR="00352AE4" w:rsidRPr="00D16130" w:rsidRDefault="00352AE4" w:rsidP="00352AE4">
      <w:pPr>
        <w:jc w:val="both"/>
        <w:rPr>
          <w:i/>
          <w:lang w:val="ru-RU"/>
        </w:rPr>
      </w:pPr>
    </w:p>
    <w:sectPr w:rsidR="00352AE4" w:rsidRPr="00D16130">
      <w:headerReference w:type="default" r:id="rId1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B2F29" w14:textId="77777777" w:rsidR="00BA4764" w:rsidRDefault="00BA4764" w:rsidP="00963320">
      <w:pPr>
        <w:spacing w:after="0" w:line="240" w:lineRule="auto"/>
      </w:pPr>
      <w:r>
        <w:separator/>
      </w:r>
    </w:p>
  </w:endnote>
  <w:endnote w:type="continuationSeparator" w:id="0">
    <w:p w14:paraId="7CC79DFA" w14:textId="77777777" w:rsidR="00BA4764" w:rsidRDefault="00BA4764" w:rsidP="00963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UkrainianFreeSe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B8B9D" w14:textId="77777777" w:rsidR="00BA4764" w:rsidRDefault="00BA4764" w:rsidP="00963320">
      <w:pPr>
        <w:spacing w:after="0" w:line="240" w:lineRule="auto"/>
      </w:pPr>
      <w:r>
        <w:separator/>
      </w:r>
    </w:p>
  </w:footnote>
  <w:footnote w:type="continuationSeparator" w:id="0">
    <w:p w14:paraId="68246C32" w14:textId="77777777" w:rsidR="00BA4764" w:rsidRDefault="00BA4764" w:rsidP="00963320">
      <w:pPr>
        <w:spacing w:after="0" w:line="240" w:lineRule="auto"/>
      </w:pPr>
      <w:r>
        <w:continuationSeparator/>
      </w:r>
    </w:p>
  </w:footnote>
  <w:footnote w:id="1">
    <w:p w14:paraId="5565E803" w14:textId="53ACCAA8" w:rsidR="00B143CB" w:rsidRPr="002F185B" w:rsidRDefault="00B143CB" w:rsidP="002F185B">
      <w:pPr>
        <w:pStyle w:val="a4"/>
        <w:jc w:val="both"/>
      </w:pPr>
      <w:r w:rsidRPr="002F185B">
        <w:rPr>
          <w:rStyle w:val="a6"/>
        </w:rPr>
        <w:footnoteRef/>
      </w:r>
      <w:r w:rsidRPr="002F185B">
        <w:t xml:space="preserve"> Див. наприклад «</w:t>
      </w:r>
      <w:r w:rsidR="002F185B" w:rsidRPr="002F185B">
        <w:t>Як вона працює? Новий підхід до аналізу і оцінки процесів управління в системі охорони здоров’я в Україні»</w:t>
      </w:r>
      <w:r w:rsidRPr="002F185B">
        <w:t>, Світовий банк, 2013</w:t>
      </w:r>
    </w:p>
  </w:footnote>
  <w:footnote w:id="2">
    <w:p w14:paraId="41829E72" w14:textId="2B511917" w:rsidR="00740CD8" w:rsidRPr="00740CD8" w:rsidRDefault="00740CD8" w:rsidP="002F185B">
      <w:pPr>
        <w:pStyle w:val="a4"/>
        <w:jc w:val="both"/>
        <w:rPr>
          <w:lang w:val="ru-RU"/>
        </w:rPr>
      </w:pPr>
      <w:r w:rsidRPr="002F185B">
        <w:rPr>
          <w:rStyle w:val="a6"/>
        </w:rPr>
        <w:footnoteRef/>
      </w:r>
      <w:r w:rsidR="002F185B" w:rsidRPr="002F185B">
        <w:t xml:space="preserve"> </w:t>
      </w:r>
      <w:r w:rsidR="002F185B" w:rsidRPr="002F185B">
        <w:t>Зокрема, Стратегія</w:t>
      </w:r>
      <w:r w:rsidRPr="002F185B">
        <w:t xml:space="preserve"> реформування охорони здоров’я на 2015-2020 роки (доступна на сайті </w:t>
      </w:r>
      <w:proofErr w:type="spellStart"/>
      <w:r w:rsidRPr="002F185B">
        <w:rPr>
          <w:lang w:val="en-US"/>
        </w:rPr>
        <w:t>healthsag</w:t>
      </w:r>
      <w:proofErr w:type="spellEnd"/>
      <w:r w:rsidRPr="002F185B">
        <w:rPr>
          <w:lang w:val="ru-RU"/>
        </w:rPr>
        <w:t>.</w:t>
      </w:r>
      <w:r w:rsidRPr="002F185B">
        <w:rPr>
          <w:lang w:val="en-US"/>
        </w:rPr>
        <w:t>org</w:t>
      </w:r>
      <w:r w:rsidRPr="002F185B">
        <w:rPr>
          <w:lang w:val="ru-RU"/>
        </w:rPr>
        <w:t>.</w:t>
      </w:r>
      <w:proofErr w:type="spellStart"/>
      <w:r w:rsidRPr="002F185B">
        <w:rPr>
          <w:lang w:val="en-US"/>
        </w:rPr>
        <w:t>ua</w:t>
      </w:r>
      <w:proofErr w:type="spellEnd"/>
      <w:r w:rsidRPr="002F185B">
        <w:rPr>
          <w:lang w:val="ru-RU"/>
        </w:rPr>
        <w:t>).</w:t>
      </w:r>
      <w:r>
        <w:rPr>
          <w:lang w:val="ru-RU"/>
        </w:rPr>
        <w:t xml:space="preserve"> </w:t>
      </w:r>
    </w:p>
  </w:footnote>
  <w:footnote w:id="3">
    <w:p w14:paraId="2601B7A0" w14:textId="6C291D64" w:rsidR="000019EB" w:rsidRDefault="000019EB">
      <w:pPr>
        <w:pStyle w:val="a4"/>
      </w:pPr>
      <w:r>
        <w:rPr>
          <w:rStyle w:val="a6"/>
        </w:rPr>
        <w:footnoteRef/>
      </w:r>
      <w:r>
        <w:t xml:space="preserve"> Стаття 49 Конституції України.</w:t>
      </w:r>
    </w:p>
  </w:footnote>
  <w:footnote w:id="4">
    <w:p w14:paraId="4B054FB5" w14:textId="77777777" w:rsidR="008301E5" w:rsidRPr="008301E5" w:rsidRDefault="008301E5">
      <w:pPr>
        <w:pStyle w:val="a4"/>
        <w:rPr>
          <w:lang w:val="ru-RU"/>
        </w:rPr>
      </w:pPr>
      <w:r>
        <w:rPr>
          <w:rStyle w:val="a6"/>
        </w:rPr>
        <w:footnoteRef/>
      </w:r>
      <w:r>
        <w:t xml:space="preserve"> Світовий Банк, 2013 (</w:t>
      </w:r>
      <w:r>
        <w:rPr>
          <w:lang w:val="en-US"/>
        </w:rPr>
        <w:t>http</w:t>
      </w:r>
      <w:r w:rsidRPr="008301E5">
        <w:rPr>
          <w:lang w:val="ru-RU"/>
        </w:rPr>
        <w:t>://</w:t>
      </w:r>
      <w:r>
        <w:rPr>
          <w:lang w:val="en-US"/>
        </w:rPr>
        <w:t>data</w:t>
      </w:r>
      <w:r w:rsidRPr="008301E5">
        <w:rPr>
          <w:lang w:val="ru-RU"/>
        </w:rPr>
        <w:t>.</w:t>
      </w:r>
      <w:proofErr w:type="spellStart"/>
      <w:r>
        <w:rPr>
          <w:lang w:val="en-US"/>
        </w:rPr>
        <w:t>worldbank</w:t>
      </w:r>
      <w:proofErr w:type="spellEnd"/>
      <w:r w:rsidRPr="008301E5">
        <w:rPr>
          <w:lang w:val="ru-RU"/>
        </w:rPr>
        <w:t>.</w:t>
      </w:r>
      <w:r>
        <w:rPr>
          <w:lang w:val="en-US"/>
        </w:rPr>
        <w:t>org</w:t>
      </w:r>
      <w:r w:rsidRPr="008301E5">
        <w:rPr>
          <w:lang w:val="ru-RU"/>
        </w:rPr>
        <w:t>)</w:t>
      </w:r>
    </w:p>
  </w:footnote>
  <w:footnote w:id="5">
    <w:p w14:paraId="25CFB9DB" w14:textId="06C19032" w:rsidR="00232908" w:rsidRDefault="00232908">
      <w:pPr>
        <w:pStyle w:val="a4"/>
      </w:pPr>
      <w:r>
        <w:rPr>
          <w:rStyle w:val="a6"/>
        </w:rPr>
        <w:footnoteRef/>
      </w:r>
      <w:r>
        <w:t xml:space="preserve"> </w:t>
      </w:r>
      <w:r w:rsidR="000019EB">
        <w:t>Концепція</w:t>
      </w:r>
      <w:r w:rsidR="000019EB" w:rsidRPr="000019EB">
        <w:t xml:space="preserve"> реформування місцевого самоврядування та територіальної організації влади в Україні</w:t>
      </w:r>
      <w:r w:rsidR="000019EB">
        <w:t>.</w:t>
      </w:r>
    </w:p>
  </w:footnote>
  <w:footnote w:id="6">
    <w:p w14:paraId="681CF6CD" w14:textId="1F5DE78B" w:rsidR="000019EB" w:rsidRDefault="000019EB">
      <w:pPr>
        <w:pStyle w:val="a4"/>
      </w:pPr>
      <w:r>
        <w:rPr>
          <w:rStyle w:val="a6"/>
        </w:rPr>
        <w:footnoteRef/>
      </w:r>
      <w:r>
        <w:t xml:space="preserve"> Світовий Банк, 2013 (</w:t>
      </w:r>
      <w:r>
        <w:rPr>
          <w:lang w:val="en-US"/>
        </w:rPr>
        <w:t>http</w:t>
      </w:r>
      <w:r w:rsidRPr="008301E5">
        <w:rPr>
          <w:lang w:val="ru-RU"/>
        </w:rPr>
        <w:t>://</w:t>
      </w:r>
      <w:r>
        <w:rPr>
          <w:lang w:val="en-US"/>
        </w:rPr>
        <w:t>data</w:t>
      </w:r>
      <w:r w:rsidRPr="008301E5">
        <w:rPr>
          <w:lang w:val="ru-RU"/>
        </w:rPr>
        <w:t>.</w:t>
      </w:r>
      <w:proofErr w:type="spellStart"/>
      <w:r>
        <w:rPr>
          <w:lang w:val="en-US"/>
        </w:rPr>
        <w:t>worldbank</w:t>
      </w:r>
      <w:proofErr w:type="spellEnd"/>
      <w:r w:rsidRPr="008301E5">
        <w:rPr>
          <w:lang w:val="ru-RU"/>
        </w:rPr>
        <w:t>.</w:t>
      </w:r>
      <w:r>
        <w:rPr>
          <w:lang w:val="en-US"/>
        </w:rPr>
        <w:t>org</w:t>
      </w:r>
      <w:r w:rsidRPr="008301E5">
        <w:rPr>
          <w:lang w:val="ru-RU"/>
        </w:rPr>
        <w:t>)</w:t>
      </w:r>
    </w:p>
  </w:footnote>
  <w:footnote w:id="7">
    <w:p w14:paraId="0D84738F" w14:textId="0206A2D0" w:rsidR="00B00194" w:rsidRDefault="00B00194">
      <w:pPr>
        <w:pStyle w:val="a4"/>
      </w:pPr>
      <w:r>
        <w:rPr>
          <w:rStyle w:val="a6"/>
        </w:rPr>
        <w:footnoteRef/>
      </w:r>
      <w:r>
        <w:t xml:space="preserve"> Реформи фінансування охорони здоров’я: досвід країн з перехідною економікою. Європейська обсерваторія з систем та політики в охороні здоров’я ВОЗ, 2011.</w:t>
      </w:r>
    </w:p>
  </w:footnote>
  <w:footnote w:id="8">
    <w:p w14:paraId="2D19DE00" w14:textId="77777777" w:rsidR="00790904" w:rsidRPr="00790904" w:rsidRDefault="00790904">
      <w:pPr>
        <w:pStyle w:val="a4"/>
        <w:rPr>
          <w:lang w:val="ru-RU"/>
        </w:rPr>
      </w:pPr>
      <w:r>
        <w:rPr>
          <w:rStyle w:val="a6"/>
        </w:rPr>
        <w:footnoteRef/>
      </w:r>
      <w:r>
        <w:t xml:space="preserve"> Світовий банк, 2013 (</w:t>
      </w:r>
      <w:r>
        <w:rPr>
          <w:lang w:val="en-US"/>
        </w:rPr>
        <w:t>http</w:t>
      </w:r>
      <w:r w:rsidRPr="00790904">
        <w:rPr>
          <w:lang w:val="ru-RU"/>
        </w:rPr>
        <w:t>://</w:t>
      </w:r>
      <w:r>
        <w:rPr>
          <w:lang w:val="en-US"/>
        </w:rPr>
        <w:t>data</w:t>
      </w:r>
      <w:r w:rsidRPr="00790904">
        <w:rPr>
          <w:lang w:val="ru-RU"/>
        </w:rPr>
        <w:t>.</w:t>
      </w:r>
      <w:proofErr w:type="spellStart"/>
      <w:r>
        <w:rPr>
          <w:lang w:val="en-US"/>
        </w:rPr>
        <w:t>worldbank</w:t>
      </w:r>
      <w:proofErr w:type="spellEnd"/>
      <w:r w:rsidRPr="00790904">
        <w:rPr>
          <w:lang w:val="ru-RU"/>
        </w:rPr>
        <w:t>.</w:t>
      </w:r>
      <w:r>
        <w:rPr>
          <w:lang w:val="en-US"/>
        </w:rPr>
        <w:t>org</w:t>
      </w:r>
      <w:r w:rsidRPr="00790904">
        <w:rPr>
          <w:lang w:val="ru-RU"/>
        </w:rPr>
        <w:t>)</w:t>
      </w:r>
    </w:p>
  </w:footnote>
  <w:footnote w:id="9">
    <w:p w14:paraId="2D127503" w14:textId="6A83FF48" w:rsidR="00BA4FF7" w:rsidRDefault="00BA4FF7">
      <w:pPr>
        <w:pStyle w:val="a4"/>
      </w:pPr>
      <w:r w:rsidRPr="00D16130">
        <w:rPr>
          <w:rStyle w:val="a6"/>
        </w:rPr>
        <w:footnoteRef/>
      </w:r>
      <w:r w:rsidRPr="00D16130">
        <w:t xml:space="preserve"> Ідеться не про примусовий перехід, а про створення відповідних умов для появи приватно практикуючих лікарів. В результаті утвориться змішане (державно-приватне) конкурентне середовище на первинній ланці. Воно сприятиме розширенню мережі первинної допомоги, підвищенню її якості та можливостей вибору для пацієнта.</w:t>
      </w:r>
      <w:r>
        <w:t xml:space="preserve">  </w:t>
      </w:r>
    </w:p>
  </w:footnote>
  <w:footnote w:id="10">
    <w:p w14:paraId="54667EDD" w14:textId="69D658A4" w:rsidR="00203CA4" w:rsidRDefault="00203CA4" w:rsidP="00203CA4">
      <w:pPr>
        <w:pStyle w:val="a4"/>
      </w:pPr>
      <w:r>
        <w:rPr>
          <w:rStyle w:val="a6"/>
        </w:rPr>
        <w:footnoteRef/>
      </w:r>
      <w:r>
        <w:t xml:space="preserve"> </w:t>
      </w:r>
      <w:r w:rsidR="006655D7" w:rsidRPr="006655D7">
        <w:rPr>
          <w:i/>
        </w:rPr>
        <w:t>Національна стратегія реформування системи охорони здоров’я на 2015-2020. Стратегічна дорадча група при Міністерстві охорони здоров’я, 2014.</w:t>
      </w:r>
    </w:p>
  </w:footnote>
  <w:footnote w:id="11">
    <w:p w14:paraId="7B1DCE75" w14:textId="77777777" w:rsidR="006674AB" w:rsidRPr="006674AB" w:rsidRDefault="006674AB">
      <w:pPr>
        <w:pStyle w:val="a4"/>
        <w:rPr>
          <w:lang w:val="en-US"/>
        </w:rPr>
      </w:pPr>
      <w:r>
        <w:rPr>
          <w:rStyle w:val="a6"/>
        </w:rPr>
        <w:footnoteRef/>
      </w:r>
      <w:r>
        <w:t xml:space="preserve"> </w:t>
      </w:r>
      <w:r>
        <w:rPr>
          <w:i/>
        </w:rPr>
        <w:t xml:space="preserve">Джерело: </w:t>
      </w:r>
      <w:r>
        <w:rPr>
          <w:i/>
          <w:lang w:val="en-US"/>
        </w:rPr>
        <w:t>Decentralization</w:t>
      </w:r>
      <w:r w:rsidRPr="006674AB">
        <w:rPr>
          <w:i/>
        </w:rPr>
        <w:t xml:space="preserve"> </w:t>
      </w:r>
      <w:r>
        <w:rPr>
          <w:i/>
          <w:lang w:val="en-US"/>
        </w:rPr>
        <w:t>in</w:t>
      </w:r>
      <w:r w:rsidRPr="006674AB">
        <w:rPr>
          <w:i/>
        </w:rPr>
        <w:t xml:space="preserve"> </w:t>
      </w:r>
      <w:r>
        <w:rPr>
          <w:i/>
          <w:lang w:val="en-US"/>
        </w:rPr>
        <w:t>Health</w:t>
      </w:r>
      <w:r w:rsidRPr="006674AB">
        <w:rPr>
          <w:i/>
        </w:rPr>
        <w:t xml:space="preserve"> </w:t>
      </w:r>
      <w:r>
        <w:rPr>
          <w:i/>
          <w:lang w:val="en-US"/>
        </w:rPr>
        <w:t>Care</w:t>
      </w:r>
      <w:r w:rsidRPr="006674AB">
        <w:rPr>
          <w:i/>
        </w:rPr>
        <w:t xml:space="preserve">: </w:t>
      </w:r>
      <w:r>
        <w:rPr>
          <w:i/>
          <w:lang w:val="en-US"/>
        </w:rPr>
        <w:t>Strategies</w:t>
      </w:r>
      <w:r w:rsidRPr="006674AB">
        <w:rPr>
          <w:i/>
        </w:rPr>
        <w:t xml:space="preserve"> </w:t>
      </w:r>
      <w:r>
        <w:rPr>
          <w:i/>
          <w:lang w:val="en-US"/>
        </w:rPr>
        <w:t>and</w:t>
      </w:r>
      <w:r w:rsidRPr="006674AB">
        <w:rPr>
          <w:i/>
        </w:rPr>
        <w:t xml:space="preserve"> </w:t>
      </w:r>
      <w:r>
        <w:rPr>
          <w:i/>
          <w:lang w:val="en-US"/>
        </w:rPr>
        <w:t>outcomes, European Observatory on Health Systems and Policies of World Health Organization, 2007</w:t>
      </w:r>
    </w:p>
  </w:footnote>
  <w:footnote w:id="12">
    <w:p w14:paraId="0EA04B2D" w14:textId="66AA6980" w:rsidR="00895D7B" w:rsidRDefault="00895D7B">
      <w:pPr>
        <w:pStyle w:val="a4"/>
      </w:pPr>
      <w:r>
        <w:rPr>
          <w:rStyle w:val="a6"/>
        </w:rPr>
        <w:footnoteRef/>
      </w:r>
      <w:r>
        <w:t xml:space="preserve"> Використано межі нових районів з плану авторства </w:t>
      </w:r>
      <w:proofErr w:type="spellStart"/>
      <w:r>
        <w:t>І.Коліушка</w:t>
      </w:r>
      <w:proofErr w:type="spellEnd"/>
      <w:r>
        <w:t>.</w:t>
      </w:r>
    </w:p>
  </w:footnote>
  <w:footnote w:id="13">
    <w:p w14:paraId="3791A17D" w14:textId="77777777" w:rsidR="003A47C4" w:rsidRDefault="003A47C4" w:rsidP="003A47C4">
      <w:pPr>
        <w:pStyle w:val="a4"/>
      </w:pPr>
      <w:r>
        <w:rPr>
          <w:rStyle w:val="a6"/>
        </w:rPr>
        <w:footnoteRef/>
      </w:r>
      <w:r>
        <w:t xml:space="preserve"> </w:t>
      </w:r>
      <w:r w:rsidRPr="006655D7">
        <w:rPr>
          <w:i/>
        </w:rPr>
        <w:t>Національна стратегія реформування системи охорони здоров’я на 2015-2020. Стратегічна дорадча група при Міністерстві охорони здоров’я, 2014.</w:t>
      </w:r>
    </w:p>
    <w:p w14:paraId="23FCE221" w14:textId="23F98C8C" w:rsidR="003A47C4" w:rsidRDefault="003A47C4">
      <w:pPr>
        <w:pStyle w:val="a4"/>
      </w:pPr>
    </w:p>
  </w:footnote>
  <w:footnote w:id="14">
    <w:p w14:paraId="5633D79E" w14:textId="2CA98D76" w:rsidR="00064D6A" w:rsidRDefault="00064D6A">
      <w:pPr>
        <w:pStyle w:val="a4"/>
      </w:pPr>
      <w:r>
        <w:rPr>
          <w:rStyle w:val="a6"/>
        </w:rPr>
        <w:footnoteRef/>
      </w:r>
      <w:r>
        <w:t xml:space="preserve"> Насправді, це питання потребує додаткового вирішення. Уряд повинен розробити засади інвестиційної політики в охороні здоров’я, чітко визначившись, чи є капітальні видатки та інвестиції частиною вартості послуг медичних закладів. </w:t>
      </w:r>
    </w:p>
  </w:footnote>
  <w:footnote w:id="15">
    <w:p w14:paraId="4186471B" w14:textId="69FB3DDB" w:rsidR="0014443A" w:rsidRDefault="0014443A">
      <w:pPr>
        <w:pStyle w:val="a4"/>
      </w:pPr>
      <w:r>
        <w:rPr>
          <w:rStyle w:val="a6"/>
        </w:rPr>
        <w:footnoteRef/>
      </w:r>
      <w:r>
        <w:t xml:space="preserve"> Проект</w:t>
      </w:r>
      <w:r w:rsidR="00C77874">
        <w:t>и</w:t>
      </w:r>
      <w:r>
        <w:t xml:space="preserve"> </w:t>
      </w:r>
      <w:r w:rsidR="00C77874">
        <w:t>З</w:t>
      </w:r>
      <w:r>
        <w:t>аконів</w:t>
      </w:r>
      <w:r w:rsidR="00C77874">
        <w:t xml:space="preserve"> України</w:t>
      </w:r>
      <w:r w:rsidR="00C77874" w:rsidRPr="00C77874">
        <w:t xml:space="preserve"> </w:t>
      </w:r>
      <w:r w:rsidR="00C77874">
        <w:t>«</w:t>
      </w:r>
      <w:r w:rsidR="00C77874" w:rsidRPr="00C77874">
        <w:t>Про внесення змін до деяких актів щодо удосконалення законодавства з питань охорони здоров'я</w:t>
      </w:r>
      <w:r w:rsidR="00C77874">
        <w:t>» та «… до Бюджетного кодексу України…».</w:t>
      </w:r>
    </w:p>
  </w:footnote>
  <w:footnote w:id="16">
    <w:p w14:paraId="5762A02A" w14:textId="6680E840" w:rsidR="00287ED6" w:rsidRDefault="00287ED6">
      <w:pPr>
        <w:pStyle w:val="a4"/>
      </w:pPr>
      <w:r>
        <w:rPr>
          <w:rStyle w:val="a6"/>
        </w:rPr>
        <w:footnoteRef/>
      </w:r>
      <w:r>
        <w:t xml:space="preserve"> </w:t>
      </w:r>
      <w:r w:rsidR="007A6ACA">
        <w:t>Заплановано</w:t>
      </w:r>
      <w:r>
        <w:t xml:space="preserve"> передбач</w:t>
      </w:r>
      <w:r w:rsidR="007A6ACA">
        <w:t>ити</w:t>
      </w:r>
      <w:r>
        <w:t xml:space="preserve"> у проекті закону </w:t>
      </w:r>
      <w:r w:rsidR="007A6ACA">
        <w:t>«П</w:t>
      </w:r>
      <w:r>
        <w:t>ро медичні заклади</w:t>
      </w:r>
      <w:r w:rsidR="007A6ACA">
        <w:t>»</w:t>
      </w:r>
      <w:r w:rsidR="00C77874">
        <w:t>.</w:t>
      </w:r>
    </w:p>
  </w:footnote>
  <w:footnote w:id="17">
    <w:p w14:paraId="37770E53" w14:textId="4D59C387" w:rsidR="008D649C" w:rsidRDefault="008D649C">
      <w:pPr>
        <w:pStyle w:val="a4"/>
      </w:pPr>
      <w:r>
        <w:rPr>
          <w:rStyle w:val="a6"/>
        </w:rPr>
        <w:footnoteRef/>
      </w:r>
      <w:r>
        <w:t xml:space="preserve"> Зокрема, проект позики Світового Банку «Поліпшення охорони здоров’я на службі у людей» передбачає підвищення інституційної спроможності цих центрів.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DEAA9" w14:textId="54AC80CB" w:rsidR="00803AD1" w:rsidRDefault="000F2612" w:rsidP="00803AD1">
    <w:pPr>
      <w:pStyle w:val="a9"/>
      <w:jc w:val="right"/>
    </w:pPr>
    <w:r>
      <w:t>Версія від</w:t>
    </w:r>
    <w:r w:rsidR="00803AD1">
      <w:t xml:space="preserve"> </w:t>
    </w:r>
    <w:r w:rsidR="00352AE4">
      <w:rPr>
        <w:lang w:val="en-US"/>
      </w:rPr>
      <w:t>09</w:t>
    </w:r>
    <w:r w:rsidR="00803AD1">
      <w:t>.0</w:t>
    </w:r>
    <w:r w:rsidR="007A28E1">
      <w:rPr>
        <w:lang w:val="en-US"/>
      </w:rPr>
      <w:t>7</w:t>
    </w:r>
    <w:r w:rsidR="00803AD1">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14404"/>
    <w:multiLevelType w:val="hybridMultilevel"/>
    <w:tmpl w:val="59766AAE"/>
    <w:lvl w:ilvl="0" w:tplc="EC761DB0">
      <w:start w:val="1"/>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FB1352"/>
    <w:multiLevelType w:val="hybridMultilevel"/>
    <w:tmpl w:val="29BC83F2"/>
    <w:lvl w:ilvl="0" w:tplc="ADBE066E">
      <w:start w:val="5"/>
      <w:numFmt w:val="bullet"/>
      <w:lvlText w:val=""/>
      <w:lvlJc w:val="left"/>
      <w:pPr>
        <w:ind w:left="720" w:hanging="360"/>
      </w:pPr>
      <w:rPr>
        <w:rFonts w:ascii="Symbol" w:eastAsia="Times New Roman" w:hAnsi="Symbol" w:cs="Segoe UI" w:hint="default"/>
        <w:sz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6574B68"/>
    <w:multiLevelType w:val="hybridMultilevel"/>
    <w:tmpl w:val="EE5CE306"/>
    <w:lvl w:ilvl="0" w:tplc="07BE67C2">
      <w:numFmt w:val="bullet"/>
      <w:lvlText w:val="-"/>
      <w:lvlJc w:val="left"/>
      <w:pPr>
        <w:ind w:left="720" w:hanging="360"/>
      </w:pPr>
      <w:rPr>
        <w:rFonts w:ascii="Cambria" w:eastAsiaTheme="minorHAnsi"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B7807BB"/>
    <w:multiLevelType w:val="hybridMultilevel"/>
    <w:tmpl w:val="250EFA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D992797"/>
    <w:multiLevelType w:val="hybridMultilevel"/>
    <w:tmpl w:val="035C5E24"/>
    <w:lvl w:ilvl="0" w:tplc="B8423892">
      <w:start w:val="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3D09C7"/>
    <w:multiLevelType w:val="hybridMultilevel"/>
    <w:tmpl w:val="01127C0A"/>
    <w:lvl w:ilvl="0" w:tplc="8B967E98">
      <w:start w:val="1"/>
      <w:numFmt w:val="bullet"/>
      <w:lvlText w:val="-"/>
      <w:lvlJc w:val="left"/>
      <w:pPr>
        <w:ind w:left="720" w:hanging="360"/>
      </w:pPr>
      <w:rPr>
        <w:rFonts w:ascii="Cambria" w:eastAsiaTheme="minorHAnsi"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E522825"/>
    <w:multiLevelType w:val="hybridMultilevel"/>
    <w:tmpl w:val="5590D0A6"/>
    <w:lvl w:ilvl="0" w:tplc="59B87232">
      <w:numFmt w:val="bullet"/>
      <w:lvlText w:val="-"/>
      <w:lvlJc w:val="left"/>
      <w:pPr>
        <w:ind w:left="720" w:hanging="360"/>
      </w:pPr>
      <w:rPr>
        <w:rFonts w:ascii="Cambria" w:eastAsiaTheme="minorHAnsi"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56355E2"/>
    <w:multiLevelType w:val="hybridMultilevel"/>
    <w:tmpl w:val="2FCC06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65233A7"/>
    <w:multiLevelType w:val="hybridMultilevel"/>
    <w:tmpl w:val="D15435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7591454"/>
    <w:multiLevelType w:val="hybridMultilevel"/>
    <w:tmpl w:val="08B2DD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CB65C90"/>
    <w:multiLevelType w:val="hybridMultilevel"/>
    <w:tmpl w:val="34BEEF90"/>
    <w:lvl w:ilvl="0" w:tplc="59C2EB9A">
      <w:start w:val="5"/>
      <w:numFmt w:val="bullet"/>
      <w:lvlText w:val=""/>
      <w:lvlJc w:val="left"/>
      <w:pPr>
        <w:ind w:left="720" w:hanging="360"/>
      </w:pPr>
      <w:rPr>
        <w:rFonts w:ascii="Symbol" w:eastAsia="Times New Roman" w:hAnsi="Symbol" w:cs="Segoe U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9"/>
  </w:num>
  <w:num w:numId="6">
    <w:abstractNumId w:val="5"/>
  </w:num>
  <w:num w:numId="7">
    <w:abstractNumId w:val="10"/>
  </w:num>
  <w:num w:numId="8">
    <w:abstractNumId w:val="1"/>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DwIYqm7p+QTdg/shrPoXATb0kqN2alAvhVveeRJ6N3JDdURAxbR1RQAgRQzoxVT/gxdwr9LvlGDbTvNqDRzmgg==" w:salt="xW3UcBfg2dVS1ayOBMwIz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5E"/>
    <w:rsid w:val="000019EB"/>
    <w:rsid w:val="000060BF"/>
    <w:rsid w:val="000153B0"/>
    <w:rsid w:val="00017E31"/>
    <w:rsid w:val="000256D8"/>
    <w:rsid w:val="0002589A"/>
    <w:rsid w:val="0003616C"/>
    <w:rsid w:val="00036310"/>
    <w:rsid w:val="0004222B"/>
    <w:rsid w:val="00043514"/>
    <w:rsid w:val="000439FF"/>
    <w:rsid w:val="00052CAF"/>
    <w:rsid w:val="00064D6A"/>
    <w:rsid w:val="00067806"/>
    <w:rsid w:val="00070759"/>
    <w:rsid w:val="0007083E"/>
    <w:rsid w:val="00082EC6"/>
    <w:rsid w:val="000A495B"/>
    <w:rsid w:val="000B0570"/>
    <w:rsid w:val="000C2E5F"/>
    <w:rsid w:val="000D08BC"/>
    <w:rsid w:val="000D30EF"/>
    <w:rsid w:val="000F2612"/>
    <w:rsid w:val="000F7470"/>
    <w:rsid w:val="00101C34"/>
    <w:rsid w:val="001060C6"/>
    <w:rsid w:val="0011136F"/>
    <w:rsid w:val="00111AC8"/>
    <w:rsid w:val="0011532B"/>
    <w:rsid w:val="001209A5"/>
    <w:rsid w:val="00132082"/>
    <w:rsid w:val="00132106"/>
    <w:rsid w:val="0013290D"/>
    <w:rsid w:val="00134791"/>
    <w:rsid w:val="0014127B"/>
    <w:rsid w:val="00142335"/>
    <w:rsid w:val="0014443A"/>
    <w:rsid w:val="00144F76"/>
    <w:rsid w:val="001477C5"/>
    <w:rsid w:val="00152D9E"/>
    <w:rsid w:val="00153227"/>
    <w:rsid w:val="00153C1F"/>
    <w:rsid w:val="001549D3"/>
    <w:rsid w:val="00156B9E"/>
    <w:rsid w:val="0016266F"/>
    <w:rsid w:val="00165BFC"/>
    <w:rsid w:val="00166F44"/>
    <w:rsid w:val="001837A9"/>
    <w:rsid w:val="00187357"/>
    <w:rsid w:val="00190860"/>
    <w:rsid w:val="00194B46"/>
    <w:rsid w:val="001A171D"/>
    <w:rsid w:val="001A3EC5"/>
    <w:rsid w:val="001A6E90"/>
    <w:rsid w:val="001A75E0"/>
    <w:rsid w:val="001B218B"/>
    <w:rsid w:val="001C252C"/>
    <w:rsid w:val="001C723A"/>
    <w:rsid w:val="001D48FA"/>
    <w:rsid w:val="001E0591"/>
    <w:rsid w:val="001E5070"/>
    <w:rsid w:val="001F0179"/>
    <w:rsid w:val="001F6299"/>
    <w:rsid w:val="001F63EC"/>
    <w:rsid w:val="00201460"/>
    <w:rsid w:val="00203CA4"/>
    <w:rsid w:val="002103F9"/>
    <w:rsid w:val="00212C5D"/>
    <w:rsid w:val="00213552"/>
    <w:rsid w:val="00223FB4"/>
    <w:rsid w:val="00226433"/>
    <w:rsid w:val="00232908"/>
    <w:rsid w:val="002374D4"/>
    <w:rsid w:val="00244F1A"/>
    <w:rsid w:val="00272C24"/>
    <w:rsid w:val="0028177B"/>
    <w:rsid w:val="00287ED6"/>
    <w:rsid w:val="002A7186"/>
    <w:rsid w:val="002B122B"/>
    <w:rsid w:val="002B6735"/>
    <w:rsid w:val="002D06A0"/>
    <w:rsid w:val="002D7F9E"/>
    <w:rsid w:val="002E69E9"/>
    <w:rsid w:val="002F13F3"/>
    <w:rsid w:val="002F185B"/>
    <w:rsid w:val="002F7905"/>
    <w:rsid w:val="00306FB4"/>
    <w:rsid w:val="003142F6"/>
    <w:rsid w:val="003157CD"/>
    <w:rsid w:val="00315927"/>
    <w:rsid w:val="003240B0"/>
    <w:rsid w:val="00332E3A"/>
    <w:rsid w:val="00336F51"/>
    <w:rsid w:val="00352AE4"/>
    <w:rsid w:val="00352E34"/>
    <w:rsid w:val="00371779"/>
    <w:rsid w:val="003917CB"/>
    <w:rsid w:val="003A47C4"/>
    <w:rsid w:val="003F505F"/>
    <w:rsid w:val="003F5509"/>
    <w:rsid w:val="00407C2D"/>
    <w:rsid w:val="004111EA"/>
    <w:rsid w:val="00423E58"/>
    <w:rsid w:val="00426A63"/>
    <w:rsid w:val="00442AF1"/>
    <w:rsid w:val="00442D2C"/>
    <w:rsid w:val="004748E5"/>
    <w:rsid w:val="004754BC"/>
    <w:rsid w:val="00482148"/>
    <w:rsid w:val="004A368F"/>
    <w:rsid w:val="004A6937"/>
    <w:rsid w:val="004B16BF"/>
    <w:rsid w:val="004D32B9"/>
    <w:rsid w:val="004D3E44"/>
    <w:rsid w:val="004D42E1"/>
    <w:rsid w:val="004E0EB2"/>
    <w:rsid w:val="004E4E3D"/>
    <w:rsid w:val="004F23C3"/>
    <w:rsid w:val="005017FC"/>
    <w:rsid w:val="00502A26"/>
    <w:rsid w:val="0051325B"/>
    <w:rsid w:val="00515DA7"/>
    <w:rsid w:val="0052037E"/>
    <w:rsid w:val="00521CF4"/>
    <w:rsid w:val="0052771C"/>
    <w:rsid w:val="00527B17"/>
    <w:rsid w:val="00532C58"/>
    <w:rsid w:val="00542EE4"/>
    <w:rsid w:val="005639C1"/>
    <w:rsid w:val="005714E2"/>
    <w:rsid w:val="00574409"/>
    <w:rsid w:val="00574A6A"/>
    <w:rsid w:val="005862CB"/>
    <w:rsid w:val="005905BF"/>
    <w:rsid w:val="00597D33"/>
    <w:rsid w:val="005A2998"/>
    <w:rsid w:val="005B6B76"/>
    <w:rsid w:val="005C28EA"/>
    <w:rsid w:val="005C35B1"/>
    <w:rsid w:val="005D4A80"/>
    <w:rsid w:val="005E0805"/>
    <w:rsid w:val="005E5943"/>
    <w:rsid w:val="006154BB"/>
    <w:rsid w:val="006160C2"/>
    <w:rsid w:val="00624CEA"/>
    <w:rsid w:val="00633CF5"/>
    <w:rsid w:val="00635A6F"/>
    <w:rsid w:val="006406CB"/>
    <w:rsid w:val="006453DC"/>
    <w:rsid w:val="0065384D"/>
    <w:rsid w:val="00654E63"/>
    <w:rsid w:val="006655D7"/>
    <w:rsid w:val="006674AB"/>
    <w:rsid w:val="006757D4"/>
    <w:rsid w:val="00684693"/>
    <w:rsid w:val="00685334"/>
    <w:rsid w:val="00686D60"/>
    <w:rsid w:val="00687263"/>
    <w:rsid w:val="006A5AA5"/>
    <w:rsid w:val="006D5928"/>
    <w:rsid w:val="006D77CA"/>
    <w:rsid w:val="006F6C08"/>
    <w:rsid w:val="0070782F"/>
    <w:rsid w:val="00714DD5"/>
    <w:rsid w:val="00733E4A"/>
    <w:rsid w:val="0073413E"/>
    <w:rsid w:val="00740CD8"/>
    <w:rsid w:val="00740E85"/>
    <w:rsid w:val="0074168D"/>
    <w:rsid w:val="00753B3C"/>
    <w:rsid w:val="00774067"/>
    <w:rsid w:val="00786F3F"/>
    <w:rsid w:val="00790904"/>
    <w:rsid w:val="00793D38"/>
    <w:rsid w:val="007A28E1"/>
    <w:rsid w:val="007A6ACA"/>
    <w:rsid w:val="007B0E46"/>
    <w:rsid w:val="007B2553"/>
    <w:rsid w:val="007B4BE0"/>
    <w:rsid w:val="007C1187"/>
    <w:rsid w:val="007D1ED4"/>
    <w:rsid w:val="007D45E7"/>
    <w:rsid w:val="007D74B2"/>
    <w:rsid w:val="007E0899"/>
    <w:rsid w:val="007F7C99"/>
    <w:rsid w:val="00803AD1"/>
    <w:rsid w:val="00805ED9"/>
    <w:rsid w:val="00807872"/>
    <w:rsid w:val="00823A3D"/>
    <w:rsid w:val="008301E5"/>
    <w:rsid w:val="008423E7"/>
    <w:rsid w:val="008446F8"/>
    <w:rsid w:val="00846A58"/>
    <w:rsid w:val="00847EEA"/>
    <w:rsid w:val="00851783"/>
    <w:rsid w:val="00854960"/>
    <w:rsid w:val="00861514"/>
    <w:rsid w:val="008749A7"/>
    <w:rsid w:val="00881085"/>
    <w:rsid w:val="00881979"/>
    <w:rsid w:val="00886215"/>
    <w:rsid w:val="00895D7B"/>
    <w:rsid w:val="00897816"/>
    <w:rsid w:val="008A351D"/>
    <w:rsid w:val="008A717F"/>
    <w:rsid w:val="008B593B"/>
    <w:rsid w:val="008C11A4"/>
    <w:rsid w:val="008C7F10"/>
    <w:rsid w:val="008D54F6"/>
    <w:rsid w:val="008D649C"/>
    <w:rsid w:val="008F3AF8"/>
    <w:rsid w:val="009141B4"/>
    <w:rsid w:val="00914CCF"/>
    <w:rsid w:val="0092026F"/>
    <w:rsid w:val="00926957"/>
    <w:rsid w:val="009428D7"/>
    <w:rsid w:val="00944F70"/>
    <w:rsid w:val="00963320"/>
    <w:rsid w:val="00972967"/>
    <w:rsid w:val="0099168D"/>
    <w:rsid w:val="009958C6"/>
    <w:rsid w:val="009A555E"/>
    <w:rsid w:val="009B41BE"/>
    <w:rsid w:val="009C62C7"/>
    <w:rsid w:val="009C7258"/>
    <w:rsid w:val="009D781F"/>
    <w:rsid w:val="009F1180"/>
    <w:rsid w:val="009F20C2"/>
    <w:rsid w:val="009F250C"/>
    <w:rsid w:val="009F5DEF"/>
    <w:rsid w:val="00A0166A"/>
    <w:rsid w:val="00A23AF6"/>
    <w:rsid w:val="00A60943"/>
    <w:rsid w:val="00A70F50"/>
    <w:rsid w:val="00A90599"/>
    <w:rsid w:val="00A91293"/>
    <w:rsid w:val="00A95347"/>
    <w:rsid w:val="00A9640B"/>
    <w:rsid w:val="00AA0642"/>
    <w:rsid w:val="00AA51E8"/>
    <w:rsid w:val="00AA69A3"/>
    <w:rsid w:val="00AB1A3B"/>
    <w:rsid w:val="00AB5D78"/>
    <w:rsid w:val="00AC3438"/>
    <w:rsid w:val="00AC4AF8"/>
    <w:rsid w:val="00AD014D"/>
    <w:rsid w:val="00AD32F6"/>
    <w:rsid w:val="00AE3EB9"/>
    <w:rsid w:val="00AF0CFE"/>
    <w:rsid w:val="00AF2C30"/>
    <w:rsid w:val="00B00194"/>
    <w:rsid w:val="00B050CB"/>
    <w:rsid w:val="00B143CB"/>
    <w:rsid w:val="00B16767"/>
    <w:rsid w:val="00B25D79"/>
    <w:rsid w:val="00B27AD5"/>
    <w:rsid w:val="00B27D4C"/>
    <w:rsid w:val="00B30596"/>
    <w:rsid w:val="00B37812"/>
    <w:rsid w:val="00B4226F"/>
    <w:rsid w:val="00B43C17"/>
    <w:rsid w:val="00B550D9"/>
    <w:rsid w:val="00B55251"/>
    <w:rsid w:val="00B56395"/>
    <w:rsid w:val="00B62509"/>
    <w:rsid w:val="00B633F6"/>
    <w:rsid w:val="00B713A8"/>
    <w:rsid w:val="00B71A60"/>
    <w:rsid w:val="00B726B8"/>
    <w:rsid w:val="00B7673F"/>
    <w:rsid w:val="00B8029E"/>
    <w:rsid w:val="00B82C88"/>
    <w:rsid w:val="00B9019A"/>
    <w:rsid w:val="00B94312"/>
    <w:rsid w:val="00B970BA"/>
    <w:rsid w:val="00BA3A9A"/>
    <w:rsid w:val="00BA4764"/>
    <w:rsid w:val="00BA4FF7"/>
    <w:rsid w:val="00BA6A5E"/>
    <w:rsid w:val="00BB5AD2"/>
    <w:rsid w:val="00BD0468"/>
    <w:rsid w:val="00BD0851"/>
    <w:rsid w:val="00BD41DE"/>
    <w:rsid w:val="00BE799D"/>
    <w:rsid w:val="00BF0096"/>
    <w:rsid w:val="00BF267D"/>
    <w:rsid w:val="00C00A80"/>
    <w:rsid w:val="00C10574"/>
    <w:rsid w:val="00C1661A"/>
    <w:rsid w:val="00C242B8"/>
    <w:rsid w:val="00C3698C"/>
    <w:rsid w:val="00C43A94"/>
    <w:rsid w:val="00C5274D"/>
    <w:rsid w:val="00C57D47"/>
    <w:rsid w:val="00C75206"/>
    <w:rsid w:val="00C77874"/>
    <w:rsid w:val="00C77F0D"/>
    <w:rsid w:val="00C819A8"/>
    <w:rsid w:val="00C835B3"/>
    <w:rsid w:val="00C845B2"/>
    <w:rsid w:val="00C87894"/>
    <w:rsid w:val="00CB3BBA"/>
    <w:rsid w:val="00CD3D0B"/>
    <w:rsid w:val="00CF212D"/>
    <w:rsid w:val="00CF70DE"/>
    <w:rsid w:val="00D15D08"/>
    <w:rsid w:val="00D16130"/>
    <w:rsid w:val="00D22544"/>
    <w:rsid w:val="00D23807"/>
    <w:rsid w:val="00D23B94"/>
    <w:rsid w:val="00D308F7"/>
    <w:rsid w:val="00D4630D"/>
    <w:rsid w:val="00D64D54"/>
    <w:rsid w:val="00D6684F"/>
    <w:rsid w:val="00D67184"/>
    <w:rsid w:val="00D80C72"/>
    <w:rsid w:val="00D87B7D"/>
    <w:rsid w:val="00D92498"/>
    <w:rsid w:val="00D9556B"/>
    <w:rsid w:val="00D97F67"/>
    <w:rsid w:val="00DA086F"/>
    <w:rsid w:val="00DA62AB"/>
    <w:rsid w:val="00DA7822"/>
    <w:rsid w:val="00DB05BF"/>
    <w:rsid w:val="00DB3CC2"/>
    <w:rsid w:val="00DC2F12"/>
    <w:rsid w:val="00DC5827"/>
    <w:rsid w:val="00DD3D16"/>
    <w:rsid w:val="00DF565D"/>
    <w:rsid w:val="00E13AC5"/>
    <w:rsid w:val="00E15269"/>
    <w:rsid w:val="00E2304A"/>
    <w:rsid w:val="00E4613F"/>
    <w:rsid w:val="00E4794A"/>
    <w:rsid w:val="00E55290"/>
    <w:rsid w:val="00E5792E"/>
    <w:rsid w:val="00E65AAC"/>
    <w:rsid w:val="00E8312C"/>
    <w:rsid w:val="00E878D1"/>
    <w:rsid w:val="00E930D5"/>
    <w:rsid w:val="00E93C1B"/>
    <w:rsid w:val="00EB1928"/>
    <w:rsid w:val="00ED6AA7"/>
    <w:rsid w:val="00EF4DAC"/>
    <w:rsid w:val="00F015A1"/>
    <w:rsid w:val="00F0247B"/>
    <w:rsid w:val="00F03978"/>
    <w:rsid w:val="00F045AF"/>
    <w:rsid w:val="00F35A52"/>
    <w:rsid w:val="00F37A7D"/>
    <w:rsid w:val="00F668E3"/>
    <w:rsid w:val="00F94651"/>
    <w:rsid w:val="00F95A3C"/>
    <w:rsid w:val="00F95C95"/>
    <w:rsid w:val="00FA3A5D"/>
    <w:rsid w:val="00FA425A"/>
    <w:rsid w:val="00FA4955"/>
    <w:rsid w:val="00FD2BC2"/>
    <w:rsid w:val="00FE6E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93DA3"/>
  <w15:chartTrackingRefBased/>
  <w15:docId w15:val="{19269C5A-BF99-497E-B4CF-1988133C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E59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748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594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4748E5"/>
    <w:rPr>
      <w:rFonts w:asciiTheme="majorHAnsi" w:eastAsiaTheme="majorEastAsia" w:hAnsiTheme="majorHAnsi" w:cstheme="majorBidi"/>
      <w:color w:val="2E74B5" w:themeColor="accent1" w:themeShade="BF"/>
      <w:sz w:val="26"/>
      <w:szCs w:val="26"/>
    </w:rPr>
  </w:style>
  <w:style w:type="paragraph" w:styleId="a3">
    <w:name w:val="caption"/>
    <w:basedOn w:val="a"/>
    <w:next w:val="a"/>
    <w:uiPriority w:val="35"/>
    <w:semiHidden/>
    <w:unhideWhenUsed/>
    <w:qFormat/>
    <w:rsid w:val="00166F44"/>
    <w:pPr>
      <w:spacing w:after="200" w:line="240" w:lineRule="auto"/>
    </w:pPr>
    <w:rPr>
      <w:i/>
      <w:iCs/>
      <w:color w:val="44546A" w:themeColor="text2"/>
      <w:sz w:val="18"/>
      <w:szCs w:val="18"/>
    </w:rPr>
  </w:style>
  <w:style w:type="paragraph" w:styleId="a4">
    <w:name w:val="footnote text"/>
    <w:basedOn w:val="a"/>
    <w:link w:val="a5"/>
    <w:uiPriority w:val="99"/>
    <w:semiHidden/>
    <w:unhideWhenUsed/>
    <w:rsid w:val="00963320"/>
    <w:pPr>
      <w:spacing w:after="0" w:line="240" w:lineRule="auto"/>
    </w:pPr>
    <w:rPr>
      <w:sz w:val="20"/>
      <w:szCs w:val="20"/>
    </w:rPr>
  </w:style>
  <w:style w:type="character" w:customStyle="1" w:styleId="a5">
    <w:name w:val="Текст сноски Знак"/>
    <w:basedOn w:val="a0"/>
    <w:link w:val="a4"/>
    <w:uiPriority w:val="99"/>
    <w:semiHidden/>
    <w:rsid w:val="00963320"/>
    <w:rPr>
      <w:sz w:val="20"/>
      <w:szCs w:val="20"/>
    </w:rPr>
  </w:style>
  <w:style w:type="character" w:styleId="a6">
    <w:name w:val="footnote reference"/>
    <w:basedOn w:val="a0"/>
    <w:uiPriority w:val="99"/>
    <w:semiHidden/>
    <w:unhideWhenUsed/>
    <w:rsid w:val="00963320"/>
    <w:rPr>
      <w:vertAlign w:val="superscript"/>
    </w:rPr>
  </w:style>
  <w:style w:type="paragraph" w:styleId="a7">
    <w:name w:val="List Paragraph"/>
    <w:basedOn w:val="a"/>
    <w:uiPriority w:val="34"/>
    <w:qFormat/>
    <w:rsid w:val="000C2E5F"/>
    <w:pPr>
      <w:ind w:left="720"/>
      <w:contextualSpacing/>
    </w:pPr>
  </w:style>
  <w:style w:type="table" w:styleId="a8">
    <w:name w:val="Table Grid"/>
    <w:basedOn w:val="a1"/>
    <w:uiPriority w:val="39"/>
    <w:rsid w:val="00B55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03AD1"/>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803AD1"/>
  </w:style>
  <w:style w:type="paragraph" w:styleId="ab">
    <w:name w:val="footer"/>
    <w:basedOn w:val="a"/>
    <w:link w:val="ac"/>
    <w:uiPriority w:val="99"/>
    <w:unhideWhenUsed/>
    <w:rsid w:val="00803AD1"/>
    <w:pPr>
      <w:tabs>
        <w:tab w:val="center" w:pos="4819"/>
        <w:tab w:val="right" w:pos="9639"/>
      </w:tabs>
      <w:spacing w:after="0" w:line="240" w:lineRule="auto"/>
    </w:pPr>
  </w:style>
  <w:style w:type="character" w:customStyle="1" w:styleId="ac">
    <w:name w:val="Нижний колонтитул Знак"/>
    <w:basedOn w:val="a0"/>
    <w:link w:val="ab"/>
    <w:uiPriority w:val="99"/>
    <w:rsid w:val="00803AD1"/>
  </w:style>
  <w:style w:type="paragraph" w:styleId="ad">
    <w:name w:val="Balloon Text"/>
    <w:basedOn w:val="a"/>
    <w:link w:val="ae"/>
    <w:uiPriority w:val="99"/>
    <w:semiHidden/>
    <w:unhideWhenUsed/>
    <w:rsid w:val="00BA6A5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A6A5E"/>
    <w:rPr>
      <w:rFonts w:ascii="Segoe UI" w:hAnsi="Segoe UI" w:cs="Segoe UI"/>
      <w:sz w:val="18"/>
      <w:szCs w:val="18"/>
    </w:rPr>
  </w:style>
  <w:style w:type="character" w:styleId="af">
    <w:name w:val="annotation reference"/>
    <w:basedOn w:val="a0"/>
    <w:uiPriority w:val="99"/>
    <w:semiHidden/>
    <w:unhideWhenUsed/>
    <w:rsid w:val="00B27AD5"/>
    <w:rPr>
      <w:sz w:val="16"/>
      <w:szCs w:val="16"/>
    </w:rPr>
  </w:style>
  <w:style w:type="paragraph" w:styleId="af0">
    <w:name w:val="annotation text"/>
    <w:basedOn w:val="a"/>
    <w:link w:val="af1"/>
    <w:uiPriority w:val="99"/>
    <w:semiHidden/>
    <w:unhideWhenUsed/>
    <w:rsid w:val="00B27AD5"/>
    <w:pPr>
      <w:spacing w:after="0" w:line="240" w:lineRule="auto"/>
    </w:pPr>
    <w:rPr>
      <w:rFonts w:asciiTheme="minorHAnsi" w:hAnsiTheme="minorHAnsi"/>
      <w:sz w:val="20"/>
      <w:szCs w:val="20"/>
      <w:lang w:val="ru-RU"/>
    </w:rPr>
  </w:style>
  <w:style w:type="character" w:customStyle="1" w:styleId="af1">
    <w:name w:val="Текст примечания Знак"/>
    <w:basedOn w:val="a0"/>
    <w:link w:val="af0"/>
    <w:uiPriority w:val="99"/>
    <w:semiHidden/>
    <w:rsid w:val="00B27AD5"/>
    <w:rPr>
      <w:rFonts w:asciiTheme="minorHAnsi" w:hAnsiTheme="minorHAnsi"/>
      <w:sz w:val="20"/>
      <w:szCs w:val="20"/>
      <w:lang w:val="ru-RU"/>
    </w:rPr>
  </w:style>
  <w:style w:type="paragraph" w:styleId="af2">
    <w:name w:val="annotation subject"/>
    <w:basedOn w:val="af0"/>
    <w:next w:val="af0"/>
    <w:link w:val="af3"/>
    <w:uiPriority w:val="99"/>
    <w:semiHidden/>
    <w:unhideWhenUsed/>
    <w:rsid w:val="00306FB4"/>
    <w:pPr>
      <w:spacing w:after="160"/>
    </w:pPr>
    <w:rPr>
      <w:rFonts w:ascii="Cambria" w:hAnsi="Cambria"/>
      <w:b/>
      <w:bCs/>
      <w:lang w:val="uk-UA"/>
    </w:rPr>
  </w:style>
  <w:style w:type="character" w:customStyle="1" w:styleId="af3">
    <w:name w:val="Тема примечания Знак"/>
    <w:basedOn w:val="af1"/>
    <w:link w:val="af2"/>
    <w:uiPriority w:val="99"/>
    <w:semiHidden/>
    <w:rsid w:val="00306FB4"/>
    <w:rPr>
      <w:rFonts w:asciiTheme="minorHAnsi" w:hAnsiTheme="minorHAnsi"/>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82769">
      <w:bodyDiv w:val="1"/>
      <w:marLeft w:val="0"/>
      <w:marRight w:val="0"/>
      <w:marTop w:val="0"/>
      <w:marBottom w:val="0"/>
      <w:divBdr>
        <w:top w:val="none" w:sz="0" w:space="0" w:color="auto"/>
        <w:left w:val="none" w:sz="0" w:space="0" w:color="auto"/>
        <w:bottom w:val="none" w:sz="0" w:space="0" w:color="auto"/>
        <w:right w:val="none" w:sz="0" w:space="0" w:color="auto"/>
      </w:divBdr>
    </w:div>
    <w:div w:id="409155514">
      <w:bodyDiv w:val="1"/>
      <w:marLeft w:val="0"/>
      <w:marRight w:val="0"/>
      <w:marTop w:val="0"/>
      <w:marBottom w:val="0"/>
      <w:divBdr>
        <w:top w:val="none" w:sz="0" w:space="0" w:color="auto"/>
        <w:left w:val="none" w:sz="0" w:space="0" w:color="auto"/>
        <w:bottom w:val="none" w:sz="0" w:space="0" w:color="auto"/>
        <w:right w:val="none" w:sz="0" w:space="0" w:color="auto"/>
      </w:divBdr>
    </w:div>
    <w:div w:id="89551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E656E2-606C-4794-A772-01FE832DA6FB}" type="doc">
      <dgm:prSet loTypeId="urn:microsoft.com/office/officeart/2005/8/layout/hProcess7" loCatId="list" qsTypeId="urn:microsoft.com/office/officeart/2005/8/quickstyle/simple4" qsCatId="simple" csTypeId="urn:microsoft.com/office/officeart/2005/8/colors/accent1_2" csCatId="accent1" phldr="1"/>
      <dgm:spPr/>
      <dgm:t>
        <a:bodyPr/>
        <a:lstStyle/>
        <a:p>
          <a:endParaRPr lang="uk-UA"/>
        </a:p>
      </dgm:t>
    </dgm:pt>
    <dgm:pt modelId="{4C3B39FC-C24E-4A5C-8E25-BE21C4455EE8}">
      <dgm:prSet phldrT="[Текст]"/>
      <dgm:spPr/>
      <dgm:t>
        <a:bodyPr/>
        <a:lstStyle/>
        <a:p>
          <a:r>
            <a:rPr lang="uk-UA"/>
            <a:t>2016</a:t>
          </a:r>
        </a:p>
      </dgm:t>
    </dgm:pt>
    <dgm:pt modelId="{E8936453-4E5D-46C3-93B6-3122DE142ABD}" type="parTrans" cxnId="{596BC6E6-D5B6-4765-A1DC-0313E9D11CA0}">
      <dgm:prSet/>
      <dgm:spPr/>
      <dgm:t>
        <a:bodyPr/>
        <a:lstStyle/>
        <a:p>
          <a:endParaRPr lang="uk-UA"/>
        </a:p>
      </dgm:t>
    </dgm:pt>
    <dgm:pt modelId="{46ABE443-A28B-49FD-81DC-513347904E7C}" type="sibTrans" cxnId="{596BC6E6-D5B6-4765-A1DC-0313E9D11CA0}">
      <dgm:prSet/>
      <dgm:spPr/>
      <dgm:t>
        <a:bodyPr/>
        <a:lstStyle/>
        <a:p>
          <a:endParaRPr lang="uk-UA"/>
        </a:p>
      </dgm:t>
    </dgm:pt>
    <dgm:pt modelId="{075941DB-6AEC-4F01-83EE-38714436CD79}">
      <dgm:prSet phldrT="[Текст]" custT="1"/>
      <dgm:spPr/>
      <dgm:t>
        <a:bodyPr/>
        <a:lstStyle/>
        <a:p>
          <a:r>
            <a:rPr lang="uk-UA" sz="1050">
              <a:latin typeface="+mn-lt"/>
              <a:cs typeface="Segoe UI" panose="020B0502040204020203" pitchFamily="34" charset="0"/>
            </a:rPr>
            <a:t>Фінансування за допомогою медичної субвенції на обласний рівень</a:t>
          </a:r>
        </a:p>
        <a:p>
          <a:r>
            <a:rPr lang="uk-UA" sz="1050">
              <a:latin typeface="+mn-lt"/>
              <a:cs typeface="Segoe UI" panose="020B0502040204020203" pitchFamily="34" charset="0"/>
            </a:rPr>
            <a:t>Перехід закладів на "глобальні бюджети"</a:t>
          </a:r>
          <a:endParaRPr lang="uk-UA" sz="1050"/>
        </a:p>
      </dgm:t>
    </dgm:pt>
    <dgm:pt modelId="{79DFF227-4FD8-4D53-94C9-201A8EBDE70A}" type="parTrans" cxnId="{EC93DF6C-F681-44AD-8B24-584CF587CADF}">
      <dgm:prSet/>
      <dgm:spPr/>
      <dgm:t>
        <a:bodyPr/>
        <a:lstStyle/>
        <a:p>
          <a:endParaRPr lang="uk-UA"/>
        </a:p>
      </dgm:t>
    </dgm:pt>
    <dgm:pt modelId="{07044D32-7F36-4F2B-823C-996119C266CB}" type="sibTrans" cxnId="{EC93DF6C-F681-44AD-8B24-584CF587CADF}">
      <dgm:prSet/>
      <dgm:spPr/>
      <dgm:t>
        <a:bodyPr/>
        <a:lstStyle/>
        <a:p>
          <a:endParaRPr lang="uk-UA"/>
        </a:p>
      </dgm:t>
    </dgm:pt>
    <dgm:pt modelId="{FCF28490-7DB1-4068-863C-A5DB305D1A6A}">
      <dgm:prSet phldrT="[Текст]"/>
      <dgm:spPr/>
      <dgm:t>
        <a:bodyPr/>
        <a:lstStyle/>
        <a:p>
          <a:r>
            <a:rPr lang="uk-UA"/>
            <a:t>2017</a:t>
          </a:r>
        </a:p>
      </dgm:t>
    </dgm:pt>
    <dgm:pt modelId="{A8231204-8DF1-4CE9-94B0-50A836E887CB}" type="parTrans" cxnId="{E505A480-713F-42B4-A566-1C41898CE861}">
      <dgm:prSet/>
      <dgm:spPr/>
      <dgm:t>
        <a:bodyPr/>
        <a:lstStyle/>
        <a:p>
          <a:endParaRPr lang="uk-UA"/>
        </a:p>
      </dgm:t>
    </dgm:pt>
    <dgm:pt modelId="{122156E7-1918-419E-82A7-EC8F8B290FDE}" type="sibTrans" cxnId="{E505A480-713F-42B4-A566-1C41898CE861}">
      <dgm:prSet/>
      <dgm:spPr/>
      <dgm:t>
        <a:bodyPr/>
        <a:lstStyle/>
        <a:p>
          <a:endParaRPr lang="uk-UA"/>
        </a:p>
      </dgm:t>
    </dgm:pt>
    <dgm:pt modelId="{D1EDE4DC-DF50-4B38-B8A7-1E6B5F59E6A4}">
      <dgm:prSet phldrT="[Текст]" custT="1"/>
      <dgm:spPr/>
      <dgm:t>
        <a:bodyPr/>
        <a:lstStyle/>
        <a:p>
          <a:r>
            <a:rPr lang="uk-UA" sz="1000">
              <a:latin typeface="+mn-lt"/>
              <a:cs typeface="Segoe UI" panose="020B0502040204020203" pitchFamily="34" charset="0"/>
            </a:rPr>
            <a:t>Фінансування за допомогою медичної субвенції на обласний рівень</a:t>
          </a:r>
          <a:endParaRPr lang="uk-UA" sz="1000"/>
        </a:p>
        <a:p>
          <a:r>
            <a:rPr lang="uk-UA" sz="1000"/>
            <a:t>Запущено пілотне фінансування закладів на принципі "плата за випадок" (для лікарень) та подушним принципом+якісні індикатори для первинної ланки</a:t>
          </a:r>
        </a:p>
      </dgm:t>
    </dgm:pt>
    <dgm:pt modelId="{6D9A17E6-978A-4DB0-BFAE-963F6F29A3F7}" type="parTrans" cxnId="{439D7EBF-EE1D-4929-B7D2-4FC4358DA865}">
      <dgm:prSet/>
      <dgm:spPr/>
      <dgm:t>
        <a:bodyPr/>
        <a:lstStyle/>
        <a:p>
          <a:endParaRPr lang="uk-UA"/>
        </a:p>
      </dgm:t>
    </dgm:pt>
    <dgm:pt modelId="{2F901AFF-C0F7-4713-8D4B-FBBDD2A2830B}" type="sibTrans" cxnId="{439D7EBF-EE1D-4929-B7D2-4FC4358DA865}">
      <dgm:prSet/>
      <dgm:spPr/>
      <dgm:t>
        <a:bodyPr/>
        <a:lstStyle/>
        <a:p>
          <a:endParaRPr lang="uk-UA"/>
        </a:p>
      </dgm:t>
    </dgm:pt>
    <dgm:pt modelId="{4DDBC585-E3E0-4EEA-98F9-255CB42316A3}">
      <dgm:prSet phldrT="[Текст]"/>
      <dgm:spPr/>
      <dgm:t>
        <a:bodyPr/>
        <a:lstStyle/>
        <a:p>
          <a:r>
            <a:rPr lang="uk-UA"/>
            <a:t>2018</a:t>
          </a:r>
        </a:p>
      </dgm:t>
    </dgm:pt>
    <dgm:pt modelId="{49A34106-EEEC-4C02-90EF-456FAA35B29E}" type="parTrans" cxnId="{497E9D08-1369-467D-989C-B57EBE4A23AF}">
      <dgm:prSet/>
      <dgm:spPr/>
      <dgm:t>
        <a:bodyPr/>
        <a:lstStyle/>
        <a:p>
          <a:endParaRPr lang="uk-UA"/>
        </a:p>
      </dgm:t>
    </dgm:pt>
    <dgm:pt modelId="{88409F16-3C33-42D7-8AD5-A214BCEFDAF1}" type="sibTrans" cxnId="{497E9D08-1369-467D-989C-B57EBE4A23AF}">
      <dgm:prSet/>
      <dgm:spPr/>
      <dgm:t>
        <a:bodyPr/>
        <a:lstStyle/>
        <a:p>
          <a:endParaRPr lang="uk-UA"/>
        </a:p>
      </dgm:t>
    </dgm:pt>
    <dgm:pt modelId="{3DA183BF-399D-4BF8-AF3A-09FF0C590FF9}">
      <dgm:prSet phldrT="[Текст]"/>
      <dgm:spPr/>
      <dgm:t>
        <a:bodyPr/>
        <a:lstStyle/>
        <a:p>
          <a:r>
            <a:rPr lang="uk-UA"/>
            <a:t>Нова модель фінансування на принципах розмежування замовника та постачальника, вибіркового контрактування, оплати результатів та автономії закладів повністю запроваджена</a:t>
          </a:r>
        </a:p>
      </dgm:t>
    </dgm:pt>
    <dgm:pt modelId="{BF510034-E54B-4621-BA4A-BD85D752BB16}" type="parTrans" cxnId="{E489F54A-0A10-4848-B661-8CBBD65E56E6}">
      <dgm:prSet/>
      <dgm:spPr/>
      <dgm:t>
        <a:bodyPr/>
        <a:lstStyle/>
        <a:p>
          <a:endParaRPr lang="uk-UA"/>
        </a:p>
      </dgm:t>
    </dgm:pt>
    <dgm:pt modelId="{98CF4AE2-1D24-4D6E-943C-071B566C120A}" type="sibTrans" cxnId="{E489F54A-0A10-4848-B661-8CBBD65E56E6}">
      <dgm:prSet/>
      <dgm:spPr/>
      <dgm:t>
        <a:bodyPr/>
        <a:lstStyle/>
        <a:p>
          <a:endParaRPr lang="uk-UA"/>
        </a:p>
      </dgm:t>
    </dgm:pt>
    <dgm:pt modelId="{6C50847D-2584-42C2-8894-B5A72AB4FC5C}">
      <dgm:prSet custT="1"/>
      <dgm:spPr/>
      <dgm:t>
        <a:bodyPr/>
        <a:lstStyle/>
        <a:p>
          <a:r>
            <a:rPr lang="uk-UA" sz="1050">
              <a:latin typeface="+mn-lt"/>
              <a:cs typeface="Segoe UI" panose="020B0502040204020203" pitchFamily="34" charset="0"/>
            </a:rPr>
            <a:t>Розроблено нові типові контракти для закладів</a:t>
          </a:r>
        </a:p>
      </dgm:t>
    </dgm:pt>
    <dgm:pt modelId="{762EEBA1-0DB8-405B-967B-C6CE5E51C97A}" type="parTrans" cxnId="{BF9F70A9-46D8-42DC-A25B-2F3BDAB5DDBA}">
      <dgm:prSet/>
      <dgm:spPr/>
      <dgm:t>
        <a:bodyPr/>
        <a:lstStyle/>
        <a:p>
          <a:endParaRPr lang="uk-UA"/>
        </a:p>
      </dgm:t>
    </dgm:pt>
    <dgm:pt modelId="{2CF7679A-7FB5-484E-BF94-7FDCC524AC42}" type="sibTrans" cxnId="{BF9F70A9-46D8-42DC-A25B-2F3BDAB5DDBA}">
      <dgm:prSet/>
      <dgm:spPr/>
      <dgm:t>
        <a:bodyPr/>
        <a:lstStyle/>
        <a:p>
          <a:endParaRPr lang="uk-UA"/>
        </a:p>
      </dgm:t>
    </dgm:pt>
    <dgm:pt modelId="{D4402AB4-8D9B-4C3A-AD10-F902106B961B}">
      <dgm:prSet custT="1"/>
      <dgm:spPr/>
      <dgm:t>
        <a:bodyPr/>
        <a:lstStyle/>
        <a:p>
          <a:r>
            <a:rPr lang="uk-UA" sz="1050">
              <a:latin typeface="+mn-lt"/>
              <a:cs typeface="Segoe UI" panose="020B0502040204020203" pitchFamily="34" charset="0"/>
            </a:rPr>
            <a:t>Розроблено структуру управління автономними публічними закладами</a:t>
          </a:r>
        </a:p>
      </dgm:t>
    </dgm:pt>
    <dgm:pt modelId="{8DEC6BDD-70F1-4AE5-BA65-63DF3403AD10}" type="parTrans" cxnId="{96CDF23A-702A-4C84-B993-DC47E51C9F67}">
      <dgm:prSet/>
      <dgm:spPr/>
      <dgm:t>
        <a:bodyPr/>
        <a:lstStyle/>
        <a:p>
          <a:endParaRPr lang="uk-UA"/>
        </a:p>
      </dgm:t>
    </dgm:pt>
    <dgm:pt modelId="{98AC6980-05F3-4CF3-8747-52D556F7425E}" type="sibTrans" cxnId="{96CDF23A-702A-4C84-B993-DC47E51C9F67}">
      <dgm:prSet/>
      <dgm:spPr/>
      <dgm:t>
        <a:bodyPr/>
        <a:lstStyle/>
        <a:p>
          <a:endParaRPr lang="uk-UA"/>
        </a:p>
      </dgm:t>
    </dgm:pt>
    <dgm:pt modelId="{F28689BD-45F4-4624-9346-8A8C90F53E3D}">
      <dgm:prSet custT="1"/>
      <dgm:spPr/>
      <dgm:t>
        <a:bodyPr/>
        <a:lstStyle/>
        <a:p>
          <a:r>
            <a:rPr lang="uk-UA" sz="1050">
              <a:latin typeface="+mn-lt"/>
            </a:rPr>
            <a:t>Розроблено структуру управління агенції з фінансування на націольному та обласному рівні</a:t>
          </a:r>
          <a:endParaRPr lang="uk-UA" sz="1050">
            <a:latin typeface="+mn-lt"/>
            <a:cs typeface="Segoe UI" panose="020B0502040204020203" pitchFamily="34" charset="0"/>
          </a:endParaRPr>
        </a:p>
      </dgm:t>
    </dgm:pt>
    <dgm:pt modelId="{6732A7AD-9197-4638-ABAC-B5F52FFAF5E8}" type="parTrans" cxnId="{CBEFAE0C-AECB-4008-9A73-A6A13C71CB80}">
      <dgm:prSet/>
      <dgm:spPr/>
      <dgm:t>
        <a:bodyPr/>
        <a:lstStyle/>
        <a:p>
          <a:endParaRPr lang="uk-UA"/>
        </a:p>
      </dgm:t>
    </dgm:pt>
    <dgm:pt modelId="{5E895F5D-2E2C-45D6-B88C-AB0AD846FC68}" type="sibTrans" cxnId="{CBEFAE0C-AECB-4008-9A73-A6A13C71CB80}">
      <dgm:prSet/>
      <dgm:spPr/>
      <dgm:t>
        <a:bodyPr/>
        <a:lstStyle/>
        <a:p>
          <a:endParaRPr lang="uk-UA"/>
        </a:p>
      </dgm:t>
    </dgm:pt>
    <dgm:pt modelId="{CFEB8CAD-DA62-4989-A313-408277B142C5}">
      <dgm:prSet custT="1"/>
      <dgm:spPr/>
      <dgm:t>
        <a:bodyPr/>
        <a:lstStyle/>
        <a:p>
          <a:r>
            <a:rPr lang="uk-UA" sz="1000"/>
            <a:t>Впроваджено нові типові контракти для закладів</a:t>
          </a:r>
          <a:endParaRPr lang="en-US" sz="1000"/>
        </a:p>
      </dgm:t>
    </dgm:pt>
    <dgm:pt modelId="{065B40D2-D326-4997-8D83-8B81FBAE8684}" type="parTrans" cxnId="{C0AAE105-7671-4373-97F4-5BABA2472F78}">
      <dgm:prSet/>
      <dgm:spPr/>
      <dgm:t>
        <a:bodyPr/>
        <a:lstStyle/>
        <a:p>
          <a:endParaRPr lang="uk-UA"/>
        </a:p>
      </dgm:t>
    </dgm:pt>
    <dgm:pt modelId="{A238C38F-C4FE-4145-BDEA-17B069620B95}" type="sibTrans" cxnId="{C0AAE105-7671-4373-97F4-5BABA2472F78}">
      <dgm:prSet/>
      <dgm:spPr/>
      <dgm:t>
        <a:bodyPr/>
        <a:lstStyle/>
        <a:p>
          <a:endParaRPr lang="uk-UA"/>
        </a:p>
      </dgm:t>
    </dgm:pt>
    <dgm:pt modelId="{C8716C44-1EA6-4F34-BE79-12B6B82FD321}">
      <dgm:prSet custT="1"/>
      <dgm:spPr/>
      <dgm:t>
        <a:bodyPr/>
        <a:lstStyle/>
        <a:p>
          <a:r>
            <a:rPr lang="uk-UA" sz="1000"/>
            <a:t>Всі заклади переходять на автономне управління</a:t>
          </a:r>
          <a:endParaRPr lang="en-US" sz="1000"/>
        </a:p>
      </dgm:t>
    </dgm:pt>
    <dgm:pt modelId="{FD66E78C-0712-4790-8224-F918438EADBC}" type="parTrans" cxnId="{F36AC962-1632-4A4A-9DDA-9D047136358A}">
      <dgm:prSet/>
      <dgm:spPr/>
      <dgm:t>
        <a:bodyPr/>
        <a:lstStyle/>
        <a:p>
          <a:endParaRPr lang="uk-UA"/>
        </a:p>
      </dgm:t>
    </dgm:pt>
    <dgm:pt modelId="{4DEB4550-87E7-4432-A18A-8E8C15F302E7}" type="sibTrans" cxnId="{F36AC962-1632-4A4A-9DDA-9D047136358A}">
      <dgm:prSet/>
      <dgm:spPr/>
      <dgm:t>
        <a:bodyPr/>
        <a:lstStyle/>
        <a:p>
          <a:endParaRPr lang="uk-UA"/>
        </a:p>
      </dgm:t>
    </dgm:pt>
    <dgm:pt modelId="{87D0FB8B-68B3-47B2-8CDE-FCC26A450FAD}" type="pres">
      <dgm:prSet presAssocID="{5DE656E2-606C-4794-A772-01FE832DA6FB}" presName="Name0" presStyleCnt="0">
        <dgm:presLayoutVars>
          <dgm:dir/>
          <dgm:animLvl val="lvl"/>
          <dgm:resizeHandles val="exact"/>
        </dgm:presLayoutVars>
      </dgm:prSet>
      <dgm:spPr/>
      <dgm:t>
        <a:bodyPr/>
        <a:lstStyle/>
        <a:p>
          <a:endParaRPr lang="uk-UA"/>
        </a:p>
      </dgm:t>
    </dgm:pt>
    <dgm:pt modelId="{EB06C401-DD79-43D6-902D-93DEFAC83683}" type="pres">
      <dgm:prSet presAssocID="{4C3B39FC-C24E-4A5C-8E25-BE21C4455EE8}" presName="compositeNode" presStyleCnt="0">
        <dgm:presLayoutVars>
          <dgm:bulletEnabled val="1"/>
        </dgm:presLayoutVars>
      </dgm:prSet>
      <dgm:spPr/>
    </dgm:pt>
    <dgm:pt modelId="{0D4B242F-53E1-4AF3-8F4A-09D074249786}" type="pres">
      <dgm:prSet presAssocID="{4C3B39FC-C24E-4A5C-8E25-BE21C4455EE8}" presName="bgRect" presStyleLbl="node1" presStyleIdx="0" presStyleCnt="3" custScaleY="135932"/>
      <dgm:spPr/>
      <dgm:t>
        <a:bodyPr/>
        <a:lstStyle/>
        <a:p>
          <a:endParaRPr lang="uk-UA"/>
        </a:p>
      </dgm:t>
    </dgm:pt>
    <dgm:pt modelId="{2B416E7B-7FED-4F70-9136-A40EC3F30DF9}" type="pres">
      <dgm:prSet presAssocID="{4C3B39FC-C24E-4A5C-8E25-BE21C4455EE8}" presName="parentNode" presStyleLbl="node1" presStyleIdx="0" presStyleCnt="3">
        <dgm:presLayoutVars>
          <dgm:chMax val="0"/>
          <dgm:bulletEnabled val="1"/>
        </dgm:presLayoutVars>
      </dgm:prSet>
      <dgm:spPr/>
      <dgm:t>
        <a:bodyPr/>
        <a:lstStyle/>
        <a:p>
          <a:endParaRPr lang="uk-UA"/>
        </a:p>
      </dgm:t>
    </dgm:pt>
    <dgm:pt modelId="{A41F1292-F9A3-4069-9B1D-B5F0F40379DA}" type="pres">
      <dgm:prSet presAssocID="{4C3B39FC-C24E-4A5C-8E25-BE21C4455EE8}" presName="childNode" presStyleLbl="node1" presStyleIdx="0" presStyleCnt="3">
        <dgm:presLayoutVars>
          <dgm:bulletEnabled val="1"/>
        </dgm:presLayoutVars>
      </dgm:prSet>
      <dgm:spPr/>
      <dgm:t>
        <a:bodyPr/>
        <a:lstStyle/>
        <a:p>
          <a:endParaRPr lang="uk-UA"/>
        </a:p>
      </dgm:t>
    </dgm:pt>
    <dgm:pt modelId="{5CC91212-D613-47D3-83C7-0758C0C2C0E8}" type="pres">
      <dgm:prSet presAssocID="{46ABE443-A28B-49FD-81DC-513347904E7C}" presName="hSp" presStyleCnt="0"/>
      <dgm:spPr/>
    </dgm:pt>
    <dgm:pt modelId="{C8EC1ED3-116A-45D5-9B07-8A7B21437064}" type="pres">
      <dgm:prSet presAssocID="{46ABE443-A28B-49FD-81DC-513347904E7C}" presName="vProcSp" presStyleCnt="0"/>
      <dgm:spPr/>
    </dgm:pt>
    <dgm:pt modelId="{67C37488-C042-48DC-A4F1-CA5FC6537308}" type="pres">
      <dgm:prSet presAssocID="{46ABE443-A28B-49FD-81DC-513347904E7C}" presName="vSp1" presStyleCnt="0"/>
      <dgm:spPr/>
    </dgm:pt>
    <dgm:pt modelId="{FB2D0F5A-14A5-43D8-BCAD-620AF305389E}" type="pres">
      <dgm:prSet presAssocID="{46ABE443-A28B-49FD-81DC-513347904E7C}" presName="simulatedConn" presStyleLbl="solidFgAcc1" presStyleIdx="0" presStyleCnt="2"/>
      <dgm:spPr/>
    </dgm:pt>
    <dgm:pt modelId="{7120C73F-D565-4B36-AD86-605DCE7951D0}" type="pres">
      <dgm:prSet presAssocID="{46ABE443-A28B-49FD-81DC-513347904E7C}" presName="vSp2" presStyleCnt="0"/>
      <dgm:spPr/>
    </dgm:pt>
    <dgm:pt modelId="{A76F2C03-9B7B-47BD-B478-9AC0A293BFCF}" type="pres">
      <dgm:prSet presAssocID="{46ABE443-A28B-49FD-81DC-513347904E7C}" presName="sibTrans" presStyleCnt="0"/>
      <dgm:spPr/>
    </dgm:pt>
    <dgm:pt modelId="{9AB61FD2-BE1F-43EC-BEA7-202F838F14AE}" type="pres">
      <dgm:prSet presAssocID="{FCF28490-7DB1-4068-863C-A5DB305D1A6A}" presName="compositeNode" presStyleCnt="0">
        <dgm:presLayoutVars>
          <dgm:bulletEnabled val="1"/>
        </dgm:presLayoutVars>
      </dgm:prSet>
      <dgm:spPr/>
    </dgm:pt>
    <dgm:pt modelId="{909DEA07-A6B2-4C6C-993B-B1A8EF696546}" type="pres">
      <dgm:prSet presAssocID="{FCF28490-7DB1-4068-863C-A5DB305D1A6A}" presName="bgRect" presStyleLbl="node1" presStyleIdx="1" presStyleCnt="3" custScaleY="135538"/>
      <dgm:spPr/>
      <dgm:t>
        <a:bodyPr/>
        <a:lstStyle/>
        <a:p>
          <a:endParaRPr lang="uk-UA"/>
        </a:p>
      </dgm:t>
    </dgm:pt>
    <dgm:pt modelId="{6A8F49C1-6F1D-4EED-AA24-D84E5F339988}" type="pres">
      <dgm:prSet presAssocID="{FCF28490-7DB1-4068-863C-A5DB305D1A6A}" presName="parentNode" presStyleLbl="node1" presStyleIdx="1" presStyleCnt="3">
        <dgm:presLayoutVars>
          <dgm:chMax val="0"/>
          <dgm:bulletEnabled val="1"/>
        </dgm:presLayoutVars>
      </dgm:prSet>
      <dgm:spPr/>
      <dgm:t>
        <a:bodyPr/>
        <a:lstStyle/>
        <a:p>
          <a:endParaRPr lang="uk-UA"/>
        </a:p>
      </dgm:t>
    </dgm:pt>
    <dgm:pt modelId="{F0D4EB24-B67E-418E-B41E-95A1471A847B}" type="pres">
      <dgm:prSet presAssocID="{FCF28490-7DB1-4068-863C-A5DB305D1A6A}" presName="childNode" presStyleLbl="node1" presStyleIdx="1" presStyleCnt="3">
        <dgm:presLayoutVars>
          <dgm:bulletEnabled val="1"/>
        </dgm:presLayoutVars>
      </dgm:prSet>
      <dgm:spPr/>
      <dgm:t>
        <a:bodyPr/>
        <a:lstStyle/>
        <a:p>
          <a:endParaRPr lang="uk-UA"/>
        </a:p>
      </dgm:t>
    </dgm:pt>
    <dgm:pt modelId="{EC901788-8A16-4B2A-B57A-9133FF565D1D}" type="pres">
      <dgm:prSet presAssocID="{122156E7-1918-419E-82A7-EC8F8B290FDE}" presName="hSp" presStyleCnt="0"/>
      <dgm:spPr/>
    </dgm:pt>
    <dgm:pt modelId="{37FB17C9-BBE3-4DBD-9DE0-D3E209141AD6}" type="pres">
      <dgm:prSet presAssocID="{122156E7-1918-419E-82A7-EC8F8B290FDE}" presName="vProcSp" presStyleCnt="0"/>
      <dgm:spPr/>
    </dgm:pt>
    <dgm:pt modelId="{D729BF9D-9B11-45EC-8B93-F07A6CC9D2D4}" type="pres">
      <dgm:prSet presAssocID="{122156E7-1918-419E-82A7-EC8F8B290FDE}" presName="vSp1" presStyleCnt="0"/>
      <dgm:spPr/>
    </dgm:pt>
    <dgm:pt modelId="{1E355149-306B-44B9-B93F-3B02F270E706}" type="pres">
      <dgm:prSet presAssocID="{122156E7-1918-419E-82A7-EC8F8B290FDE}" presName="simulatedConn" presStyleLbl="solidFgAcc1" presStyleIdx="1" presStyleCnt="2"/>
      <dgm:spPr/>
    </dgm:pt>
    <dgm:pt modelId="{91B10AC7-3EFC-4F88-ABBE-6637598DDD5B}" type="pres">
      <dgm:prSet presAssocID="{122156E7-1918-419E-82A7-EC8F8B290FDE}" presName="vSp2" presStyleCnt="0"/>
      <dgm:spPr/>
    </dgm:pt>
    <dgm:pt modelId="{71ECE670-ED5C-4A0A-A64C-2A84BC96ABE3}" type="pres">
      <dgm:prSet presAssocID="{122156E7-1918-419E-82A7-EC8F8B290FDE}" presName="sibTrans" presStyleCnt="0"/>
      <dgm:spPr/>
    </dgm:pt>
    <dgm:pt modelId="{0B9541E9-C364-4EE9-A424-A08D0D7B0DB4}" type="pres">
      <dgm:prSet presAssocID="{4DDBC585-E3E0-4EEA-98F9-255CB42316A3}" presName="compositeNode" presStyleCnt="0">
        <dgm:presLayoutVars>
          <dgm:bulletEnabled val="1"/>
        </dgm:presLayoutVars>
      </dgm:prSet>
      <dgm:spPr/>
    </dgm:pt>
    <dgm:pt modelId="{6DF451B4-774B-4C3E-AE04-959D92C5451A}" type="pres">
      <dgm:prSet presAssocID="{4DDBC585-E3E0-4EEA-98F9-255CB42316A3}" presName="bgRect" presStyleLbl="node1" presStyleIdx="2" presStyleCnt="3" custScaleY="135932"/>
      <dgm:spPr/>
      <dgm:t>
        <a:bodyPr/>
        <a:lstStyle/>
        <a:p>
          <a:endParaRPr lang="uk-UA"/>
        </a:p>
      </dgm:t>
    </dgm:pt>
    <dgm:pt modelId="{F3478FDA-AB32-4201-843D-5977819D8DCE}" type="pres">
      <dgm:prSet presAssocID="{4DDBC585-E3E0-4EEA-98F9-255CB42316A3}" presName="parentNode" presStyleLbl="node1" presStyleIdx="2" presStyleCnt="3">
        <dgm:presLayoutVars>
          <dgm:chMax val="0"/>
          <dgm:bulletEnabled val="1"/>
        </dgm:presLayoutVars>
      </dgm:prSet>
      <dgm:spPr/>
      <dgm:t>
        <a:bodyPr/>
        <a:lstStyle/>
        <a:p>
          <a:endParaRPr lang="uk-UA"/>
        </a:p>
      </dgm:t>
    </dgm:pt>
    <dgm:pt modelId="{A364B03B-C5D1-4F35-8188-C02140C61FB7}" type="pres">
      <dgm:prSet presAssocID="{4DDBC585-E3E0-4EEA-98F9-255CB42316A3}" presName="childNode" presStyleLbl="node1" presStyleIdx="2" presStyleCnt="3">
        <dgm:presLayoutVars>
          <dgm:bulletEnabled val="1"/>
        </dgm:presLayoutVars>
      </dgm:prSet>
      <dgm:spPr/>
      <dgm:t>
        <a:bodyPr/>
        <a:lstStyle/>
        <a:p>
          <a:endParaRPr lang="uk-UA"/>
        </a:p>
      </dgm:t>
    </dgm:pt>
  </dgm:ptLst>
  <dgm:cxnLst>
    <dgm:cxn modelId="{71214CA5-B1B2-4E49-AB58-CD3DDCED6D0E}" type="presOf" srcId="{5DE656E2-606C-4794-A772-01FE832DA6FB}" destId="{87D0FB8B-68B3-47B2-8CDE-FCC26A450FAD}" srcOrd="0" destOrd="0" presId="urn:microsoft.com/office/officeart/2005/8/layout/hProcess7"/>
    <dgm:cxn modelId="{F36AC962-1632-4A4A-9DDA-9D047136358A}" srcId="{FCF28490-7DB1-4068-863C-A5DB305D1A6A}" destId="{C8716C44-1EA6-4F34-BE79-12B6B82FD321}" srcOrd="2" destOrd="0" parTransId="{FD66E78C-0712-4790-8224-F918438EADBC}" sibTransId="{4DEB4550-87E7-4432-A18A-8E8C15F302E7}"/>
    <dgm:cxn modelId="{07A0A722-FFFF-44C1-8101-59349AD78062}" type="presOf" srcId="{6C50847D-2584-42C2-8894-B5A72AB4FC5C}" destId="{A41F1292-F9A3-4069-9B1D-B5F0F40379DA}" srcOrd="0" destOrd="1" presId="urn:microsoft.com/office/officeart/2005/8/layout/hProcess7"/>
    <dgm:cxn modelId="{497E9D08-1369-467D-989C-B57EBE4A23AF}" srcId="{5DE656E2-606C-4794-A772-01FE832DA6FB}" destId="{4DDBC585-E3E0-4EEA-98F9-255CB42316A3}" srcOrd="2" destOrd="0" parTransId="{49A34106-EEEC-4C02-90EF-456FAA35B29E}" sibTransId="{88409F16-3C33-42D7-8AD5-A214BCEFDAF1}"/>
    <dgm:cxn modelId="{4D106ED5-BC26-470D-807E-329B74A4CD13}" type="presOf" srcId="{4DDBC585-E3E0-4EEA-98F9-255CB42316A3}" destId="{F3478FDA-AB32-4201-843D-5977819D8DCE}" srcOrd="1" destOrd="0" presId="urn:microsoft.com/office/officeart/2005/8/layout/hProcess7"/>
    <dgm:cxn modelId="{428EFB5B-7D5B-4DA5-8B0B-CF9ED9ECBFDB}" type="presOf" srcId="{D1EDE4DC-DF50-4B38-B8A7-1E6B5F59E6A4}" destId="{F0D4EB24-B67E-418E-B41E-95A1471A847B}" srcOrd="0" destOrd="0" presId="urn:microsoft.com/office/officeart/2005/8/layout/hProcess7"/>
    <dgm:cxn modelId="{5AEB8D66-6C96-469E-8A3F-B4459F0D6C6A}" type="presOf" srcId="{4C3B39FC-C24E-4A5C-8E25-BE21C4455EE8}" destId="{2B416E7B-7FED-4F70-9136-A40EC3F30DF9}" srcOrd="1" destOrd="0" presId="urn:microsoft.com/office/officeart/2005/8/layout/hProcess7"/>
    <dgm:cxn modelId="{773A70C6-CF5C-4825-8730-FC60ACFB77D2}" type="presOf" srcId="{FCF28490-7DB1-4068-863C-A5DB305D1A6A}" destId="{909DEA07-A6B2-4C6C-993B-B1A8EF696546}" srcOrd="0" destOrd="0" presId="urn:microsoft.com/office/officeart/2005/8/layout/hProcess7"/>
    <dgm:cxn modelId="{C0AAE105-7671-4373-97F4-5BABA2472F78}" srcId="{FCF28490-7DB1-4068-863C-A5DB305D1A6A}" destId="{CFEB8CAD-DA62-4989-A313-408277B142C5}" srcOrd="1" destOrd="0" parTransId="{065B40D2-D326-4997-8D83-8B81FBAE8684}" sibTransId="{A238C38F-C4FE-4145-BDEA-17B069620B95}"/>
    <dgm:cxn modelId="{439D7EBF-EE1D-4929-B7D2-4FC4358DA865}" srcId="{FCF28490-7DB1-4068-863C-A5DB305D1A6A}" destId="{D1EDE4DC-DF50-4B38-B8A7-1E6B5F59E6A4}" srcOrd="0" destOrd="0" parTransId="{6D9A17E6-978A-4DB0-BFAE-963F6F29A3F7}" sibTransId="{2F901AFF-C0F7-4713-8D4B-FBBDD2A2830B}"/>
    <dgm:cxn modelId="{596BC6E6-D5B6-4765-A1DC-0313E9D11CA0}" srcId="{5DE656E2-606C-4794-A772-01FE832DA6FB}" destId="{4C3B39FC-C24E-4A5C-8E25-BE21C4455EE8}" srcOrd="0" destOrd="0" parTransId="{E8936453-4E5D-46C3-93B6-3122DE142ABD}" sibTransId="{46ABE443-A28B-49FD-81DC-513347904E7C}"/>
    <dgm:cxn modelId="{E505A480-713F-42B4-A566-1C41898CE861}" srcId="{5DE656E2-606C-4794-A772-01FE832DA6FB}" destId="{FCF28490-7DB1-4068-863C-A5DB305D1A6A}" srcOrd="1" destOrd="0" parTransId="{A8231204-8DF1-4CE9-94B0-50A836E887CB}" sibTransId="{122156E7-1918-419E-82A7-EC8F8B290FDE}"/>
    <dgm:cxn modelId="{BA037F1F-7F67-46C6-AEB8-382DD3A0B229}" type="presOf" srcId="{C8716C44-1EA6-4F34-BE79-12B6B82FD321}" destId="{F0D4EB24-B67E-418E-B41E-95A1471A847B}" srcOrd="0" destOrd="2" presId="urn:microsoft.com/office/officeart/2005/8/layout/hProcess7"/>
    <dgm:cxn modelId="{E489F54A-0A10-4848-B661-8CBBD65E56E6}" srcId="{4DDBC585-E3E0-4EEA-98F9-255CB42316A3}" destId="{3DA183BF-399D-4BF8-AF3A-09FF0C590FF9}" srcOrd="0" destOrd="0" parTransId="{BF510034-E54B-4621-BA4A-BD85D752BB16}" sibTransId="{98CF4AE2-1D24-4D6E-943C-071B566C120A}"/>
    <dgm:cxn modelId="{CBEFAE0C-AECB-4008-9A73-A6A13C71CB80}" srcId="{4C3B39FC-C24E-4A5C-8E25-BE21C4455EE8}" destId="{F28689BD-45F4-4624-9346-8A8C90F53E3D}" srcOrd="3" destOrd="0" parTransId="{6732A7AD-9197-4638-ABAC-B5F52FFAF5E8}" sibTransId="{5E895F5D-2E2C-45D6-B88C-AB0AD846FC68}"/>
    <dgm:cxn modelId="{5AE8BF23-2C92-48DC-B359-F3645A200542}" type="presOf" srcId="{F28689BD-45F4-4624-9346-8A8C90F53E3D}" destId="{A41F1292-F9A3-4069-9B1D-B5F0F40379DA}" srcOrd="0" destOrd="3" presId="urn:microsoft.com/office/officeart/2005/8/layout/hProcess7"/>
    <dgm:cxn modelId="{E5218C16-9A57-4CA0-ADAE-F2C7446113CC}" type="presOf" srcId="{D4402AB4-8D9B-4C3A-AD10-F902106B961B}" destId="{A41F1292-F9A3-4069-9B1D-B5F0F40379DA}" srcOrd="0" destOrd="2" presId="urn:microsoft.com/office/officeart/2005/8/layout/hProcess7"/>
    <dgm:cxn modelId="{EC93DF6C-F681-44AD-8B24-584CF587CADF}" srcId="{4C3B39FC-C24E-4A5C-8E25-BE21C4455EE8}" destId="{075941DB-6AEC-4F01-83EE-38714436CD79}" srcOrd="0" destOrd="0" parTransId="{79DFF227-4FD8-4D53-94C9-201A8EBDE70A}" sibTransId="{07044D32-7F36-4F2B-823C-996119C266CB}"/>
    <dgm:cxn modelId="{96CDF23A-702A-4C84-B993-DC47E51C9F67}" srcId="{4C3B39FC-C24E-4A5C-8E25-BE21C4455EE8}" destId="{D4402AB4-8D9B-4C3A-AD10-F902106B961B}" srcOrd="2" destOrd="0" parTransId="{8DEC6BDD-70F1-4AE5-BA65-63DF3403AD10}" sibTransId="{98AC6980-05F3-4CF3-8747-52D556F7425E}"/>
    <dgm:cxn modelId="{C43B49C9-83A6-4421-9AD7-E915681B5E77}" type="presOf" srcId="{4DDBC585-E3E0-4EEA-98F9-255CB42316A3}" destId="{6DF451B4-774B-4C3E-AE04-959D92C5451A}" srcOrd="0" destOrd="0" presId="urn:microsoft.com/office/officeart/2005/8/layout/hProcess7"/>
    <dgm:cxn modelId="{260F4F15-A4A4-4150-BEAB-315ECADBAE24}" type="presOf" srcId="{075941DB-6AEC-4F01-83EE-38714436CD79}" destId="{A41F1292-F9A3-4069-9B1D-B5F0F40379DA}" srcOrd="0" destOrd="0" presId="urn:microsoft.com/office/officeart/2005/8/layout/hProcess7"/>
    <dgm:cxn modelId="{8D0F70A1-5FA0-4D75-A0C0-9DAB4C2DEDBD}" type="presOf" srcId="{3DA183BF-399D-4BF8-AF3A-09FF0C590FF9}" destId="{A364B03B-C5D1-4F35-8188-C02140C61FB7}" srcOrd="0" destOrd="0" presId="urn:microsoft.com/office/officeart/2005/8/layout/hProcess7"/>
    <dgm:cxn modelId="{5A154650-70D9-41F3-8147-C79CA10E94A1}" type="presOf" srcId="{FCF28490-7DB1-4068-863C-A5DB305D1A6A}" destId="{6A8F49C1-6F1D-4EED-AA24-D84E5F339988}" srcOrd="1" destOrd="0" presId="urn:microsoft.com/office/officeart/2005/8/layout/hProcess7"/>
    <dgm:cxn modelId="{979F39EE-6042-4556-A489-CACE4E940A72}" type="presOf" srcId="{4C3B39FC-C24E-4A5C-8E25-BE21C4455EE8}" destId="{0D4B242F-53E1-4AF3-8F4A-09D074249786}" srcOrd="0" destOrd="0" presId="urn:microsoft.com/office/officeart/2005/8/layout/hProcess7"/>
    <dgm:cxn modelId="{4B763A29-152A-423C-9617-C4431C3F141A}" type="presOf" srcId="{CFEB8CAD-DA62-4989-A313-408277B142C5}" destId="{F0D4EB24-B67E-418E-B41E-95A1471A847B}" srcOrd="0" destOrd="1" presId="urn:microsoft.com/office/officeart/2005/8/layout/hProcess7"/>
    <dgm:cxn modelId="{BF9F70A9-46D8-42DC-A25B-2F3BDAB5DDBA}" srcId="{4C3B39FC-C24E-4A5C-8E25-BE21C4455EE8}" destId="{6C50847D-2584-42C2-8894-B5A72AB4FC5C}" srcOrd="1" destOrd="0" parTransId="{762EEBA1-0DB8-405B-967B-C6CE5E51C97A}" sibTransId="{2CF7679A-7FB5-484E-BF94-7FDCC524AC42}"/>
    <dgm:cxn modelId="{82259721-77CF-4239-8992-21DD60F5920F}" type="presParOf" srcId="{87D0FB8B-68B3-47B2-8CDE-FCC26A450FAD}" destId="{EB06C401-DD79-43D6-902D-93DEFAC83683}" srcOrd="0" destOrd="0" presId="urn:microsoft.com/office/officeart/2005/8/layout/hProcess7"/>
    <dgm:cxn modelId="{36E64B90-2418-4C6A-B709-D8FA1911C67A}" type="presParOf" srcId="{EB06C401-DD79-43D6-902D-93DEFAC83683}" destId="{0D4B242F-53E1-4AF3-8F4A-09D074249786}" srcOrd="0" destOrd="0" presId="urn:microsoft.com/office/officeart/2005/8/layout/hProcess7"/>
    <dgm:cxn modelId="{02360076-4AE2-4FAD-A45F-3B2BAD5ECAC1}" type="presParOf" srcId="{EB06C401-DD79-43D6-902D-93DEFAC83683}" destId="{2B416E7B-7FED-4F70-9136-A40EC3F30DF9}" srcOrd="1" destOrd="0" presId="urn:microsoft.com/office/officeart/2005/8/layout/hProcess7"/>
    <dgm:cxn modelId="{5F48AF0B-7A85-400E-8EEC-8E5C84BFCE89}" type="presParOf" srcId="{EB06C401-DD79-43D6-902D-93DEFAC83683}" destId="{A41F1292-F9A3-4069-9B1D-B5F0F40379DA}" srcOrd="2" destOrd="0" presId="urn:microsoft.com/office/officeart/2005/8/layout/hProcess7"/>
    <dgm:cxn modelId="{1F3CBE9B-A624-484A-8457-4C028993B2C0}" type="presParOf" srcId="{87D0FB8B-68B3-47B2-8CDE-FCC26A450FAD}" destId="{5CC91212-D613-47D3-83C7-0758C0C2C0E8}" srcOrd="1" destOrd="0" presId="urn:microsoft.com/office/officeart/2005/8/layout/hProcess7"/>
    <dgm:cxn modelId="{EE7AB143-3B4B-4178-80AE-F06BBFD16BE9}" type="presParOf" srcId="{87D0FB8B-68B3-47B2-8CDE-FCC26A450FAD}" destId="{C8EC1ED3-116A-45D5-9B07-8A7B21437064}" srcOrd="2" destOrd="0" presId="urn:microsoft.com/office/officeart/2005/8/layout/hProcess7"/>
    <dgm:cxn modelId="{E8E595AA-2011-4B13-9BDA-DBBD42784AE8}" type="presParOf" srcId="{C8EC1ED3-116A-45D5-9B07-8A7B21437064}" destId="{67C37488-C042-48DC-A4F1-CA5FC6537308}" srcOrd="0" destOrd="0" presId="urn:microsoft.com/office/officeart/2005/8/layout/hProcess7"/>
    <dgm:cxn modelId="{A4F5A478-75CC-4513-AE5F-07F3172002DC}" type="presParOf" srcId="{C8EC1ED3-116A-45D5-9B07-8A7B21437064}" destId="{FB2D0F5A-14A5-43D8-BCAD-620AF305389E}" srcOrd="1" destOrd="0" presId="urn:microsoft.com/office/officeart/2005/8/layout/hProcess7"/>
    <dgm:cxn modelId="{02026C20-523B-419A-B029-7F80764E25FB}" type="presParOf" srcId="{C8EC1ED3-116A-45D5-9B07-8A7B21437064}" destId="{7120C73F-D565-4B36-AD86-605DCE7951D0}" srcOrd="2" destOrd="0" presId="urn:microsoft.com/office/officeart/2005/8/layout/hProcess7"/>
    <dgm:cxn modelId="{BAE240B1-C859-4840-8A33-13759056453E}" type="presParOf" srcId="{87D0FB8B-68B3-47B2-8CDE-FCC26A450FAD}" destId="{A76F2C03-9B7B-47BD-B478-9AC0A293BFCF}" srcOrd="3" destOrd="0" presId="urn:microsoft.com/office/officeart/2005/8/layout/hProcess7"/>
    <dgm:cxn modelId="{1F485410-A9D4-4D0A-AB4F-9D0B9FCF33F8}" type="presParOf" srcId="{87D0FB8B-68B3-47B2-8CDE-FCC26A450FAD}" destId="{9AB61FD2-BE1F-43EC-BEA7-202F838F14AE}" srcOrd="4" destOrd="0" presId="urn:microsoft.com/office/officeart/2005/8/layout/hProcess7"/>
    <dgm:cxn modelId="{8044B59E-670C-432D-A6A9-6059894F564A}" type="presParOf" srcId="{9AB61FD2-BE1F-43EC-BEA7-202F838F14AE}" destId="{909DEA07-A6B2-4C6C-993B-B1A8EF696546}" srcOrd="0" destOrd="0" presId="urn:microsoft.com/office/officeart/2005/8/layout/hProcess7"/>
    <dgm:cxn modelId="{CA98FD96-4738-42E4-9FA8-81AF38E2287D}" type="presParOf" srcId="{9AB61FD2-BE1F-43EC-BEA7-202F838F14AE}" destId="{6A8F49C1-6F1D-4EED-AA24-D84E5F339988}" srcOrd="1" destOrd="0" presId="urn:microsoft.com/office/officeart/2005/8/layout/hProcess7"/>
    <dgm:cxn modelId="{EAC9541A-9770-4B39-8E4B-A30D96713882}" type="presParOf" srcId="{9AB61FD2-BE1F-43EC-BEA7-202F838F14AE}" destId="{F0D4EB24-B67E-418E-B41E-95A1471A847B}" srcOrd="2" destOrd="0" presId="urn:microsoft.com/office/officeart/2005/8/layout/hProcess7"/>
    <dgm:cxn modelId="{FE540CEC-C376-4ADC-A7B9-607EBF45AC7A}" type="presParOf" srcId="{87D0FB8B-68B3-47B2-8CDE-FCC26A450FAD}" destId="{EC901788-8A16-4B2A-B57A-9133FF565D1D}" srcOrd="5" destOrd="0" presId="urn:microsoft.com/office/officeart/2005/8/layout/hProcess7"/>
    <dgm:cxn modelId="{02DDC0B4-3357-4BFA-9B5D-DA40F5CB8BEA}" type="presParOf" srcId="{87D0FB8B-68B3-47B2-8CDE-FCC26A450FAD}" destId="{37FB17C9-BBE3-4DBD-9DE0-D3E209141AD6}" srcOrd="6" destOrd="0" presId="urn:microsoft.com/office/officeart/2005/8/layout/hProcess7"/>
    <dgm:cxn modelId="{1CF23F4F-9866-4340-B043-79B94EAF2CAB}" type="presParOf" srcId="{37FB17C9-BBE3-4DBD-9DE0-D3E209141AD6}" destId="{D729BF9D-9B11-45EC-8B93-F07A6CC9D2D4}" srcOrd="0" destOrd="0" presId="urn:microsoft.com/office/officeart/2005/8/layout/hProcess7"/>
    <dgm:cxn modelId="{C1543676-DA0C-4C7F-B39C-D6A089D73167}" type="presParOf" srcId="{37FB17C9-BBE3-4DBD-9DE0-D3E209141AD6}" destId="{1E355149-306B-44B9-B93F-3B02F270E706}" srcOrd="1" destOrd="0" presId="urn:microsoft.com/office/officeart/2005/8/layout/hProcess7"/>
    <dgm:cxn modelId="{1E3666C9-BD08-44B8-B1BC-8C0FAF8ADE60}" type="presParOf" srcId="{37FB17C9-BBE3-4DBD-9DE0-D3E209141AD6}" destId="{91B10AC7-3EFC-4F88-ABBE-6637598DDD5B}" srcOrd="2" destOrd="0" presId="urn:microsoft.com/office/officeart/2005/8/layout/hProcess7"/>
    <dgm:cxn modelId="{4AEF6254-4848-4E41-9BC3-6328611B6EEF}" type="presParOf" srcId="{87D0FB8B-68B3-47B2-8CDE-FCC26A450FAD}" destId="{71ECE670-ED5C-4A0A-A64C-2A84BC96ABE3}" srcOrd="7" destOrd="0" presId="urn:microsoft.com/office/officeart/2005/8/layout/hProcess7"/>
    <dgm:cxn modelId="{6AA05731-3652-4744-870D-A69C187A682B}" type="presParOf" srcId="{87D0FB8B-68B3-47B2-8CDE-FCC26A450FAD}" destId="{0B9541E9-C364-4EE9-A424-A08D0D7B0DB4}" srcOrd="8" destOrd="0" presId="urn:microsoft.com/office/officeart/2005/8/layout/hProcess7"/>
    <dgm:cxn modelId="{43939648-69CD-4378-89F4-65D7BCEA30B1}" type="presParOf" srcId="{0B9541E9-C364-4EE9-A424-A08D0D7B0DB4}" destId="{6DF451B4-774B-4C3E-AE04-959D92C5451A}" srcOrd="0" destOrd="0" presId="urn:microsoft.com/office/officeart/2005/8/layout/hProcess7"/>
    <dgm:cxn modelId="{7799908A-1C86-445A-AE7D-3C41F680673A}" type="presParOf" srcId="{0B9541E9-C364-4EE9-A424-A08D0D7B0DB4}" destId="{F3478FDA-AB32-4201-843D-5977819D8DCE}" srcOrd="1" destOrd="0" presId="urn:microsoft.com/office/officeart/2005/8/layout/hProcess7"/>
    <dgm:cxn modelId="{C565F030-8CA9-4E9F-A801-1DB3B91403E1}" type="presParOf" srcId="{0B9541E9-C364-4EE9-A424-A08D0D7B0DB4}" destId="{A364B03B-C5D1-4F35-8188-C02140C61FB7}" srcOrd="2" destOrd="0" presId="urn:microsoft.com/office/officeart/2005/8/layout/hProcess7"/>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4B242F-53E1-4AF3-8F4A-09D074249786}">
      <dsp:nvSpPr>
        <dsp:cNvPr id="0" name=""/>
        <dsp:cNvSpPr/>
      </dsp:nvSpPr>
      <dsp:spPr>
        <a:xfrm>
          <a:off x="415" y="142875"/>
          <a:ext cx="1786830" cy="2914649"/>
        </a:xfrm>
        <a:prstGeom prst="roundRect">
          <a:avLst>
            <a:gd name="adj" fmla="val 5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68580" rIns="88900" bIns="0" numCol="1" spcCol="1270" anchor="t" anchorCtr="0">
          <a:noAutofit/>
        </a:bodyPr>
        <a:lstStyle/>
        <a:p>
          <a:pPr lvl="0" algn="r" defTabSz="889000">
            <a:lnSpc>
              <a:spcPct val="90000"/>
            </a:lnSpc>
            <a:spcBef>
              <a:spcPct val="0"/>
            </a:spcBef>
            <a:spcAft>
              <a:spcPct val="35000"/>
            </a:spcAft>
          </a:pPr>
          <a:r>
            <a:rPr lang="uk-UA" sz="2000" kern="1200"/>
            <a:t>2016</a:t>
          </a:r>
        </a:p>
      </dsp:txBody>
      <dsp:txXfrm rot="16200000">
        <a:off x="-1015907" y="1159198"/>
        <a:ext cx="2390012" cy="357366"/>
      </dsp:txXfrm>
    </dsp:sp>
    <dsp:sp modelId="{A41F1292-F9A3-4069-9B1D-B5F0F40379DA}">
      <dsp:nvSpPr>
        <dsp:cNvPr id="0" name=""/>
        <dsp:cNvSpPr/>
      </dsp:nvSpPr>
      <dsp:spPr>
        <a:xfrm>
          <a:off x="357781" y="142875"/>
          <a:ext cx="1331188" cy="2914649"/>
        </a:xfrm>
        <a:prstGeom prst="rect">
          <a:avLst/>
        </a:prstGeom>
        <a:noFill/>
        <a:ln>
          <a:noFill/>
        </a:ln>
        <a:effectLst/>
        <a:sp3d/>
      </dsp:spPr>
      <dsp:style>
        <a:lnRef idx="0">
          <a:scrgbClr r="0" g="0" b="0"/>
        </a:lnRef>
        <a:fillRef idx="3">
          <a:scrgbClr r="0" g="0" b="0"/>
        </a:fillRef>
        <a:effectRef idx="2">
          <a:scrgbClr r="0" g="0" b="0"/>
        </a:effectRef>
        <a:fontRef idx="minor">
          <a:schemeClr val="lt1"/>
        </a:fontRef>
      </dsp:style>
      <dsp:txBody>
        <a:bodyPr spcFirstLastPara="0" vert="horz" wrap="square" lIns="0" tIns="37719" rIns="0" bIns="0" numCol="1" spcCol="1270" anchor="t" anchorCtr="0">
          <a:noAutofit/>
        </a:bodyPr>
        <a:lstStyle/>
        <a:p>
          <a:pPr lvl="0" algn="l" defTabSz="466725">
            <a:lnSpc>
              <a:spcPct val="90000"/>
            </a:lnSpc>
            <a:spcBef>
              <a:spcPct val="0"/>
            </a:spcBef>
            <a:spcAft>
              <a:spcPct val="35000"/>
            </a:spcAft>
          </a:pPr>
          <a:r>
            <a:rPr lang="uk-UA" sz="1050" kern="1200">
              <a:latin typeface="+mn-lt"/>
              <a:cs typeface="Segoe UI" panose="020B0502040204020203" pitchFamily="34" charset="0"/>
            </a:rPr>
            <a:t>Фінансування за допомогою медичної субвенції на обласний рівень</a:t>
          </a:r>
        </a:p>
        <a:p>
          <a:pPr lvl="0" algn="l" defTabSz="466725">
            <a:lnSpc>
              <a:spcPct val="90000"/>
            </a:lnSpc>
            <a:spcBef>
              <a:spcPct val="0"/>
            </a:spcBef>
            <a:spcAft>
              <a:spcPct val="35000"/>
            </a:spcAft>
          </a:pPr>
          <a:r>
            <a:rPr lang="uk-UA" sz="1050" kern="1200">
              <a:latin typeface="+mn-lt"/>
              <a:cs typeface="Segoe UI" panose="020B0502040204020203" pitchFamily="34" charset="0"/>
            </a:rPr>
            <a:t>Перехід закладів на "глобальні бюджети"</a:t>
          </a:r>
          <a:endParaRPr lang="uk-UA" sz="1050" kern="1200"/>
        </a:p>
        <a:p>
          <a:pPr lvl="0" algn="l" defTabSz="466725">
            <a:lnSpc>
              <a:spcPct val="90000"/>
            </a:lnSpc>
            <a:spcBef>
              <a:spcPct val="0"/>
            </a:spcBef>
            <a:spcAft>
              <a:spcPct val="35000"/>
            </a:spcAft>
          </a:pPr>
          <a:r>
            <a:rPr lang="uk-UA" sz="1050" kern="1200">
              <a:latin typeface="+mn-lt"/>
              <a:cs typeface="Segoe UI" panose="020B0502040204020203" pitchFamily="34" charset="0"/>
            </a:rPr>
            <a:t>Розроблено нові типові контракти для закладів</a:t>
          </a:r>
        </a:p>
        <a:p>
          <a:pPr lvl="0" algn="l" defTabSz="466725">
            <a:lnSpc>
              <a:spcPct val="90000"/>
            </a:lnSpc>
            <a:spcBef>
              <a:spcPct val="0"/>
            </a:spcBef>
            <a:spcAft>
              <a:spcPct val="35000"/>
            </a:spcAft>
          </a:pPr>
          <a:r>
            <a:rPr lang="uk-UA" sz="1050" kern="1200">
              <a:latin typeface="+mn-lt"/>
              <a:cs typeface="Segoe UI" panose="020B0502040204020203" pitchFamily="34" charset="0"/>
            </a:rPr>
            <a:t>Розроблено структуру управління автономними публічними закладами</a:t>
          </a:r>
        </a:p>
        <a:p>
          <a:pPr lvl="0" algn="l" defTabSz="466725">
            <a:lnSpc>
              <a:spcPct val="90000"/>
            </a:lnSpc>
            <a:spcBef>
              <a:spcPct val="0"/>
            </a:spcBef>
            <a:spcAft>
              <a:spcPct val="35000"/>
            </a:spcAft>
          </a:pPr>
          <a:r>
            <a:rPr lang="uk-UA" sz="1050" kern="1200">
              <a:latin typeface="+mn-lt"/>
            </a:rPr>
            <a:t>Розроблено структуру управління агенції з фінансування на націольному та обласному рівні</a:t>
          </a:r>
          <a:endParaRPr lang="uk-UA" sz="1050" kern="1200">
            <a:latin typeface="+mn-lt"/>
            <a:cs typeface="Segoe UI" panose="020B0502040204020203" pitchFamily="34" charset="0"/>
          </a:endParaRPr>
        </a:p>
      </dsp:txBody>
      <dsp:txXfrm>
        <a:off x="357781" y="142875"/>
        <a:ext cx="1331188" cy="2914649"/>
      </dsp:txXfrm>
    </dsp:sp>
    <dsp:sp modelId="{909DEA07-A6B2-4C6C-993B-B1A8EF696546}">
      <dsp:nvSpPr>
        <dsp:cNvPr id="0" name=""/>
        <dsp:cNvSpPr/>
      </dsp:nvSpPr>
      <dsp:spPr>
        <a:xfrm>
          <a:off x="1849784" y="142875"/>
          <a:ext cx="1786830" cy="2906201"/>
        </a:xfrm>
        <a:prstGeom prst="roundRect">
          <a:avLst>
            <a:gd name="adj" fmla="val 5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68580" rIns="88900" bIns="0" numCol="1" spcCol="1270" anchor="t" anchorCtr="0">
          <a:noAutofit/>
        </a:bodyPr>
        <a:lstStyle/>
        <a:p>
          <a:pPr lvl="0" algn="r" defTabSz="889000">
            <a:lnSpc>
              <a:spcPct val="90000"/>
            </a:lnSpc>
            <a:spcBef>
              <a:spcPct val="0"/>
            </a:spcBef>
            <a:spcAft>
              <a:spcPct val="35000"/>
            </a:spcAft>
          </a:pPr>
          <a:r>
            <a:rPr lang="uk-UA" sz="2000" kern="1200"/>
            <a:t>2017</a:t>
          </a:r>
        </a:p>
      </dsp:txBody>
      <dsp:txXfrm rot="16200000">
        <a:off x="836925" y="1155734"/>
        <a:ext cx="2383084" cy="357366"/>
      </dsp:txXfrm>
    </dsp:sp>
    <dsp:sp modelId="{FB2D0F5A-14A5-43D8-BCAD-620AF305389E}">
      <dsp:nvSpPr>
        <dsp:cNvPr id="0" name=""/>
        <dsp:cNvSpPr/>
      </dsp:nvSpPr>
      <dsp:spPr>
        <a:xfrm rot="5400000">
          <a:off x="1701237" y="1846144"/>
          <a:ext cx="314962" cy="268024"/>
        </a:xfrm>
        <a:prstGeom prst="flowChartExtract">
          <a:avLst/>
        </a:prstGeom>
        <a:solidFill>
          <a:schemeClr val="lt1">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F0D4EB24-B67E-418E-B41E-95A1471A847B}">
      <dsp:nvSpPr>
        <dsp:cNvPr id="0" name=""/>
        <dsp:cNvSpPr/>
      </dsp:nvSpPr>
      <dsp:spPr>
        <a:xfrm>
          <a:off x="2207150" y="142875"/>
          <a:ext cx="1331188" cy="2906201"/>
        </a:xfrm>
        <a:prstGeom prst="rect">
          <a:avLst/>
        </a:prstGeom>
        <a:noFill/>
        <a:ln>
          <a:noFill/>
        </a:ln>
        <a:effectLst/>
        <a:sp3d/>
      </dsp:spPr>
      <dsp:style>
        <a:lnRef idx="0">
          <a:scrgbClr r="0" g="0" b="0"/>
        </a:lnRef>
        <a:fillRef idx="3">
          <a:scrgbClr r="0" g="0" b="0"/>
        </a:fillRef>
        <a:effectRef idx="2">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uk-UA" sz="1000" kern="1200">
              <a:latin typeface="+mn-lt"/>
              <a:cs typeface="Segoe UI" panose="020B0502040204020203" pitchFamily="34" charset="0"/>
            </a:rPr>
            <a:t>Фінансування за допомогою медичної субвенції на обласний рівень</a:t>
          </a:r>
          <a:endParaRPr lang="uk-UA" sz="1000" kern="1200"/>
        </a:p>
        <a:p>
          <a:pPr lvl="0" algn="l" defTabSz="444500">
            <a:lnSpc>
              <a:spcPct val="90000"/>
            </a:lnSpc>
            <a:spcBef>
              <a:spcPct val="0"/>
            </a:spcBef>
            <a:spcAft>
              <a:spcPct val="35000"/>
            </a:spcAft>
          </a:pPr>
          <a:r>
            <a:rPr lang="uk-UA" sz="1000" kern="1200"/>
            <a:t>Запущено пілотне фінансування закладів на принципі "плата за випадок" (для лікарень) та подушним принципом+якісні індикатори для первинної ланки</a:t>
          </a:r>
        </a:p>
        <a:p>
          <a:pPr lvl="0" algn="l" defTabSz="444500">
            <a:lnSpc>
              <a:spcPct val="90000"/>
            </a:lnSpc>
            <a:spcBef>
              <a:spcPct val="0"/>
            </a:spcBef>
            <a:spcAft>
              <a:spcPct val="35000"/>
            </a:spcAft>
          </a:pPr>
          <a:r>
            <a:rPr lang="uk-UA" sz="1000" kern="1200"/>
            <a:t>Впроваджено нові типові контракти для закладів</a:t>
          </a:r>
          <a:endParaRPr lang="en-US" sz="1000" kern="1200"/>
        </a:p>
        <a:p>
          <a:pPr lvl="0" algn="l" defTabSz="444500">
            <a:lnSpc>
              <a:spcPct val="90000"/>
            </a:lnSpc>
            <a:spcBef>
              <a:spcPct val="0"/>
            </a:spcBef>
            <a:spcAft>
              <a:spcPct val="35000"/>
            </a:spcAft>
          </a:pPr>
          <a:r>
            <a:rPr lang="uk-UA" sz="1000" kern="1200"/>
            <a:t>Всі заклади переходять на автономне управління</a:t>
          </a:r>
          <a:endParaRPr lang="en-US" sz="1000" kern="1200"/>
        </a:p>
      </dsp:txBody>
      <dsp:txXfrm>
        <a:off x="2207150" y="142875"/>
        <a:ext cx="1331188" cy="2906201"/>
      </dsp:txXfrm>
    </dsp:sp>
    <dsp:sp modelId="{6DF451B4-774B-4C3E-AE04-959D92C5451A}">
      <dsp:nvSpPr>
        <dsp:cNvPr id="0" name=""/>
        <dsp:cNvSpPr/>
      </dsp:nvSpPr>
      <dsp:spPr>
        <a:xfrm>
          <a:off x="3699154" y="142875"/>
          <a:ext cx="1786830" cy="2914649"/>
        </a:xfrm>
        <a:prstGeom prst="roundRect">
          <a:avLst>
            <a:gd name="adj" fmla="val 5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68580" rIns="88900" bIns="0" numCol="1" spcCol="1270" anchor="t" anchorCtr="0">
          <a:noAutofit/>
        </a:bodyPr>
        <a:lstStyle/>
        <a:p>
          <a:pPr lvl="0" algn="r" defTabSz="889000">
            <a:lnSpc>
              <a:spcPct val="90000"/>
            </a:lnSpc>
            <a:spcBef>
              <a:spcPct val="0"/>
            </a:spcBef>
            <a:spcAft>
              <a:spcPct val="35000"/>
            </a:spcAft>
          </a:pPr>
          <a:r>
            <a:rPr lang="uk-UA" sz="2000" kern="1200"/>
            <a:t>2018</a:t>
          </a:r>
        </a:p>
      </dsp:txBody>
      <dsp:txXfrm rot="16200000">
        <a:off x="2682831" y="1159198"/>
        <a:ext cx="2390012" cy="357366"/>
      </dsp:txXfrm>
    </dsp:sp>
    <dsp:sp modelId="{1E355149-306B-44B9-B93F-3B02F270E706}">
      <dsp:nvSpPr>
        <dsp:cNvPr id="0" name=""/>
        <dsp:cNvSpPr/>
      </dsp:nvSpPr>
      <dsp:spPr>
        <a:xfrm rot="5400000">
          <a:off x="3550607" y="1846144"/>
          <a:ext cx="314962" cy="268024"/>
        </a:xfrm>
        <a:prstGeom prst="flowChartExtract">
          <a:avLst/>
        </a:prstGeom>
        <a:solidFill>
          <a:schemeClr val="lt1">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A364B03B-C5D1-4F35-8188-C02140C61FB7}">
      <dsp:nvSpPr>
        <dsp:cNvPr id="0" name=""/>
        <dsp:cNvSpPr/>
      </dsp:nvSpPr>
      <dsp:spPr>
        <a:xfrm>
          <a:off x="4056520" y="142875"/>
          <a:ext cx="1331188" cy="2914649"/>
        </a:xfrm>
        <a:prstGeom prst="rect">
          <a:avLst/>
        </a:prstGeom>
        <a:noFill/>
        <a:ln>
          <a:noFill/>
        </a:ln>
        <a:effectLst/>
        <a:sp3d/>
      </dsp:spPr>
      <dsp:style>
        <a:lnRef idx="0">
          <a:scrgbClr r="0" g="0" b="0"/>
        </a:lnRef>
        <a:fillRef idx="3">
          <a:scrgbClr r="0" g="0" b="0"/>
        </a:fillRef>
        <a:effectRef idx="2">
          <a:scrgbClr r="0" g="0" b="0"/>
        </a:effectRef>
        <a:fontRef idx="minor">
          <a:schemeClr val="lt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uk-UA" sz="1400" kern="1200"/>
            <a:t>Нова модель фінансування на принципах розмежування замовника та постачальника, вибіркового контрактування, оплати результатів та автономії закладів повністю запроваджена</a:t>
          </a:r>
        </a:p>
      </dsp:txBody>
      <dsp:txXfrm>
        <a:off x="4056520" y="142875"/>
        <a:ext cx="1331188" cy="291464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260E3-EAC5-45ED-8C97-17677937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20668</Words>
  <Characters>11781</Characters>
  <Application>Microsoft Office Word</Application>
  <DocSecurity>8</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 Kovtonyuk</dc:creator>
  <cp:keywords/>
  <dc:description/>
  <cp:lastModifiedBy>Pavlo Kovtonyuk</cp:lastModifiedBy>
  <cp:revision>8</cp:revision>
  <dcterms:created xsi:type="dcterms:W3CDTF">2015-07-27T07:34:00Z</dcterms:created>
  <dcterms:modified xsi:type="dcterms:W3CDTF">2015-07-27T07:55:00Z</dcterms:modified>
</cp:coreProperties>
</file>